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COMMENTS ON CAR CONCERNS REGARDING THE DRAFT</w:t>
      </w:r>
    </w:p>
    <w:p>
      <w:pPr>
        <w:spacing w:before="40" w:after="200" w:line="264" w:lineRule="auto"/>
        <w:jc w:val="center"/>
      </w:pPr>
      <w:r>
        <w:rPr>
          <w:rFonts w:ascii="Arial" w:hAnsi="Arial" w:cs="Arial"/>
          <w:b/>
          <w:bCs/>
          <w:sz w:val="24"/>
          <w:szCs w:val="24"/>
        </w:rPr>
        <w:t xml:space="preserve">NATIONAL LAND USE POLICY ACT (HOUSE BILL NO. 8466)</w:t>
      </w:r>
    </w:p>
    <w:p>
      <w:pPr>
        <w:keepNext/>
        <w:spacing w:before="220" w:after="100" w:line="264" w:lineRule="auto"/>
        <w:jc w:val="left"/>
      </w:pPr>
      <w:r>
        <w:rPr>
          <w:rFonts w:ascii="Arial" w:hAnsi="Arial" w:cs="Arial"/>
          <w:b/>
          <w:bCs/>
          <w:sz w:val="20"/>
          <w:szCs w:val="20"/>
        </w:rPr>
        <w:t xml:space="preserve">Position</w:t>
      </w:r>
    </w:p>
    <w:p>
      <w:pPr>
        <w:spacing w:before="0" w:after="140" w:line="264" w:lineRule="auto"/>
        <w:jc w:val="both"/>
      </w:pPr>
      <w:r>
        <w:rPr>
          <w:rFonts w:ascii="Arial" w:hAnsi="Arial" w:cs="Arial"/>
          <w:sz w:val="20"/>
          <w:szCs w:val="20"/>
        </w:rPr>
        <w:t xml:space="preserve">The Union of Local Authorities of the Philippines (ULAP) supports the passage of a National Land Use Policy that rationalizes land and water resource allocation, protects food security and ecological integrity, and strengthens coherent physical framework planning across levels of government.</w:t>
      </w:r>
    </w:p>
    <w:p>
      <w:pPr>
        <w:spacing w:before="0" w:after="140" w:line="264" w:lineRule="auto"/>
        <w:jc w:val="both"/>
      </w:pPr>
      <w:r>
        <w:rPr>
          <w:rFonts w:ascii="Arial" w:hAnsi="Arial" w:cs="Arial"/>
          <w:sz w:val="20"/>
          <w:szCs w:val="20"/>
        </w:rPr>
        <w:t xml:space="preserve">ULAP endorses the CAR comments and suggestions in principle, particularly where they protect regional autonomy, ancestral domains, settlement realities in upland areas, forestland-boundary clarity, RDC and RLUC participation, and the continued role of LGUs in land-use planning and implementation.</w:t>
      </w:r>
    </w:p>
    <w:p>
      <w:pPr>
        <w:keepNext/>
        <w:spacing w:before="220" w:after="100" w:line="264" w:lineRule="auto"/>
        <w:jc w:val="left"/>
      </w:pPr>
      <w:r>
        <w:rPr>
          <w:rFonts w:ascii="Arial" w:hAnsi="Arial" w:cs="Arial"/>
          <w:b/>
          <w:bCs/>
          <w:sz w:val="20"/>
          <w:szCs w:val="20"/>
        </w:rPr>
        <w:t xml:space="preserve">Key LGU and CAR Considerations</w:t>
      </w:r>
    </w:p>
    <w:p>
      <w:pPr>
        <w:spacing w:before="0" w:after="140" w:line="264" w:lineRule="auto"/>
        <w:jc w:val="both"/>
      </w:pPr>
      <w:r>
        <w:rPr>
          <w:rFonts w:ascii="Arial" w:hAnsi="Arial" w:cs="Arial"/>
          <w:sz w:val="20"/>
          <w:szCs w:val="20"/>
        </w:rPr>
        <w:t xml:space="preserve">The Cordillera context requires explicit recognition of ancestral domains, indigenous peoples' rights, settlement patterns in high-slope terrain, and the constitutional policy on regional autonomy.</w:t>
      </w:r>
    </w:p>
    <w:p>
      <w:pPr>
        <w:spacing w:before="0" w:after="140" w:line="264" w:lineRule="auto"/>
        <w:jc w:val="both"/>
      </w:pPr>
      <w:r>
        <w:rPr>
          <w:rFonts w:ascii="Arial" w:hAnsi="Arial" w:cs="Arial"/>
          <w:sz w:val="20"/>
          <w:szCs w:val="20"/>
        </w:rPr>
        <w:t xml:space="preserve">HB 8466 should not weaken local and regional planning institutions. The role of Regional Development Councils (RDCs) and Regional Land Use Committees (RLUCs) should be clarified in relation to any National Land Use Commission, National Land Use Office, and sub-national land use councils.</w:t>
      </w:r>
    </w:p>
    <w:p>
      <w:pPr>
        <w:spacing w:before="0" w:after="140" w:line="264" w:lineRule="auto"/>
        <w:jc w:val="both"/>
      </w:pPr>
      <w:r>
        <w:rPr>
          <w:rFonts w:ascii="Arial" w:hAnsi="Arial" w:cs="Arial"/>
          <w:sz w:val="20"/>
          <w:szCs w:val="20"/>
        </w:rPr>
        <w:t xml:space="preserve">Forestland boundary delineation should be restored or otherwise expressly addressed. Uncertainty over forestland, alienable and disposable land, CADT/CALT areas, and settlement sites can produce land-tenure conflicts and implementation disputes.</w:t>
      </w:r>
    </w:p>
    <w:p>
      <w:pPr>
        <w:spacing w:before="0" w:after="140" w:line="264" w:lineRule="auto"/>
        <w:jc w:val="both"/>
      </w:pPr>
      <w:r>
        <w:rPr>
          <w:rFonts w:ascii="Arial" w:hAnsi="Arial" w:cs="Arial"/>
          <w:sz w:val="20"/>
          <w:szCs w:val="20"/>
        </w:rPr>
        <w:t xml:space="preserve">The 18 percent slope rule should be reviewed in light of existing laws and exemptions, including the CAR-specific concerns involving Benguet and other upland settlements, while maintaining environmental safeguards and hazard-risk controls.</w:t>
      </w:r>
    </w:p>
    <w:p>
      <w:pPr>
        <w:spacing w:before="0" w:after="140" w:line="264" w:lineRule="auto"/>
        <w:jc w:val="both"/>
      </w:pPr>
      <w:r>
        <w:rPr>
          <w:rFonts w:ascii="Arial" w:hAnsi="Arial" w:cs="Arial"/>
          <w:sz w:val="20"/>
          <w:szCs w:val="20"/>
        </w:rPr>
        <w:t xml:space="preserve">Regional and local physical framework plan cycles should remain workable and aligned with local development, DRRM, climate, housing, and ancestral-domain planning instruments.</w:t>
      </w:r>
    </w:p>
    <w:p>
      <w:pPr>
        <w:keepNext/>
        <w:spacing w:before="220" w:after="100" w:line="264" w:lineRule="auto"/>
        <w:jc w:val="left"/>
      </w:pPr>
      <w:r>
        <w:rPr>
          <w:rFonts w:ascii="Arial" w:hAnsi="Arial" w:cs="Arial"/>
          <w:b/>
          <w:bCs/>
          <w:sz w:val="20"/>
          <w:szCs w:val="20"/>
        </w:rPr>
        <w:t xml:space="preserve">Recommended Comments</w:t>
      </w:r>
    </w:p>
    <w:p>
      <w:pPr>
        <w:spacing w:before="0" w:after="140" w:line="264" w:lineRule="auto"/>
        <w:jc w:val="both"/>
      </w:pPr>
      <w:r>
        <w:rPr>
          <w:rFonts w:ascii="Arial" w:hAnsi="Arial" w:cs="Arial"/>
          <w:sz w:val="20"/>
          <w:szCs w:val="20"/>
        </w:rPr>
        <w:t xml:space="preserve">ULAP recommends retaining or reinserting a clear forestland-boundary delineation function with timelines, responsible agencies, consultation requirements, and links to ancestral-domain and local land-use planning processes.</w:t>
      </w:r>
    </w:p>
    <w:p>
      <w:pPr>
        <w:spacing w:before="0" w:after="140" w:line="264" w:lineRule="auto"/>
        <w:jc w:val="both"/>
      </w:pPr>
      <w:r>
        <w:rPr>
          <w:rFonts w:ascii="Arial" w:hAnsi="Arial" w:cs="Arial"/>
          <w:sz w:val="20"/>
          <w:szCs w:val="20"/>
        </w:rPr>
        <w:t xml:space="preserve">RDC and RLUC coordination roles should be recognized in the sub-national land-use governance structure, especially for inter-local and inter-regional planning and ridge-to-reef approaches.</w:t>
      </w:r>
    </w:p>
    <w:p>
      <w:pPr>
        <w:spacing w:before="0" w:after="140" w:line="264" w:lineRule="auto"/>
        <w:jc w:val="both"/>
      </w:pPr>
      <w:r>
        <w:rPr>
          <w:rFonts w:ascii="Arial" w:hAnsi="Arial" w:cs="Arial"/>
          <w:sz w:val="20"/>
          <w:szCs w:val="20"/>
        </w:rPr>
        <w:t xml:space="preserve">The bill should clarify how it treats PD 1998, the 18 percent slope rule, high-slope settlements, CADT/CALT areas, and alienable and disposable lands in CAR and similarly situated upland communities.</w:t>
      </w:r>
    </w:p>
    <w:p>
      <w:pPr>
        <w:spacing w:before="0" w:after="140" w:line="264" w:lineRule="auto"/>
        <w:jc w:val="both"/>
      </w:pPr>
      <w:r>
        <w:rPr>
          <w:rFonts w:ascii="Arial" w:hAnsi="Arial" w:cs="Arial"/>
          <w:sz w:val="20"/>
          <w:szCs w:val="20"/>
        </w:rPr>
        <w:t xml:space="preserve">RA 10816 or farm-tourism considerations should be included where tourism enterprise zones and agricultural land-use policies intersect with local development and rural livelihoods.</w:t>
      </w:r>
    </w:p>
    <w:p>
      <w:pPr>
        <w:spacing w:before="0" w:after="140" w:line="264" w:lineRule="auto"/>
        <w:jc w:val="both"/>
      </w:pPr>
      <w:r>
        <w:rPr>
          <w:rFonts w:ascii="Arial" w:hAnsi="Arial" w:cs="Arial"/>
          <w:sz w:val="20"/>
          <w:szCs w:val="20"/>
        </w:rPr>
        <w:t xml:space="preserve">Any sanctions, plan-update obligations, database requirements, and mapping mandates for LGUs should be matched with funding, data support, technical assistance, and due-process safeguards.</w:t>
      </w:r>
    </w:p>
    <w:p>
      <w:pPr>
        <w:spacing w:before="0" w:after="140" w:line="264" w:lineRule="auto"/>
        <w:jc w:val="both"/>
      </w:pPr>
      <w:r>
        <w:rPr>
          <w:rFonts w:ascii="Arial" w:hAnsi="Arial" w:cs="Arial"/>
          <w:sz w:val="20"/>
          <w:szCs w:val="20"/>
        </w:rPr>
        <w:t xml:space="preserve">LGU authority over CLUPs, zoning ordinances, PDPFPs, local consultations, and sanggunian enactment should be preserved while harmonizing these instruments with the national policy framework.</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enactment of a National Land Use Policy and recommends that HB 8466 incorporate CAR's specific concerns and stronger local-government safeguards. A durable NaLUA should harmonize national direction with regional autonomy, indigenous peoples' rights, local planning authority, and implementation capacity.</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