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1980" w:lineRule="exact"/>
        <w:jc w:val="left"/>
      </w:pPr>
    </w:p>
    <w:p>
      <w:pPr>
        <w:spacing w:before="0" w:after="40" w:line="264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POSITION PAPER ON HOUSE RESOLUTION NO. 569</w:t>
      </w:r>
    </w:p>
    <w:p>
      <w:pPr>
        <w:spacing w:before="40" w:after="200" w:line="264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DECLARING A DISASTER AND CLIMATE EMERGENCY</w:t>
      </w:r>
    </w:p>
    <w:p>
      <w:pPr>
        <w:keepNext/>
        <w:spacing w:before="220" w:after="100" w:line="264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Position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The Union of Local Authorities of the Philippines (ULAP) supports the policy intent of House Resolution No. 569, which seeks to declare a disaster and climate emergency and affirm the Philippines' call for climate justice and urgent risk-informed governance.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Local governments are on the front line of climate impacts, including flooding, landslides, drought, storm surge, sea-level rise, heat stress, agricultural loss, water insecurity, and displacement. A national declaration should therefore translate into concrete support for local risk reduction, adaptation, resilient infrastructure, and climate-responsive public services.</w:t>
      </w:r>
    </w:p>
    <w:p>
      <w:pPr>
        <w:keepNext/>
        <w:spacing w:before="220" w:after="100" w:line="264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Key LGU Considerations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A disaster and climate emergency declaration should be operational rather than symbolic. It should guide national budgeting, planning, procurement flexibility, risk-informed land use, infrastructure standards, and climate finance access for LGUs.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Risk-informed governance must be locally implementable. LGUs need updated hazard maps, climate-risk data, early-warning systems, local adaptation planning tools, and technical support for integrating climate risk into CLUPs, DRRM plans, investment plans, and sectoral plans.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Climate justice requires support for vulnerable localities and communities, including small island, upland, coastal, riverine, agricultural, urban poor, and disaster-prone LGUs with limited fiscal capacity.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National agencies should align programs and funds with LGU priorities, avoid fragmented reporting burdens, and provide predictable channels for adaptation, mitigation, loss-and-damage, relocation, and resilience investments.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The resolution should encourage coordination with leagues of LGUs so that national climate policy reflects implementation realities across provinces, cities, municipalities, and barangays.</w:t>
      </w:r>
    </w:p>
    <w:p>
      <w:pPr>
        <w:keepNext/>
        <w:spacing w:before="220" w:after="100" w:line="264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Recommended Comments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ULAP recommends supporting HR 569 with language directing national agencies to prioritize LGU access to climate adaptation finance, resilient infrastructure funding, technical assistance, and updated risk data.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A clear national-local implementation framework should link the declaration to DRRM, climate-change adaptation, land-use planning, food security, water security, public health, and social-protection systems.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The role of LGU leagues in consultations, implementation monitoring, and identifying barriers faced by different classes and geographies of LGUs should be recognized.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New reporting, planning, or compliance expectations under the emergency framework should not become unfunded mandates.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Risk-informed procurement, project preparation, and budget tagging should be promoted to help LGUs build resilient infrastructure and services before disasters occur.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Climate justice language should support vulnerable LGUs and communities in accessing national and international climate finance, loss-and-damage support, and transition assistance.</w:t>
      </w:r>
    </w:p>
    <w:p>
      <w:pPr>
        <w:spacing w:before="160" w:after="160" w:line="264" w:lineRule="auto"/>
        <w:jc w:val="center"/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 *</w:t>
      </w:r>
    </w:p>
    <w:p>
      <w:pPr>
        <w:spacing w:before="0" w:after="1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ULAP supports HR 569 and recommends that it be framed as a practical mandate for national-local action. The declaration should strengthen LGU capacity, accelerate climate-resilient investments, and ensure that climate justice is felt in communities most exposed to climate and disaster risks.</w:t>
      </w:r>
    </w:p>
    <w:sectPr>
      <w:headerReference r:id="rId6" w:type="first"/>
      <w:footerReference r:id="rId7" w:type="first"/>
      <w:headerReference r:id="rId8" w:type="default"/>
      <w:footerReference r:id="rId9" w:type="default"/>
      <w:pgSz w:h="16838" w:w="11906" w:orient="portrait"/>
      <w:pgMar w:bottom="2160" w:top="1440" w:left="1440" w:right="1440" w:header="720" w:footer="576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-962024</wp:posOffset>
          </wp:positionH>
          <wp:positionV relativeFrom="paragraph">
            <wp:posOffset>205787</wp:posOffset>
          </wp:positionV>
          <wp:extent cx="7762875" cy="93387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63954"/>
                  <a:stretch>
                    <a:fillRect/>
                  </a:stretch>
                </pic:blipFill>
                <pic:spPr>
                  <a:xfrm>
                    <a:off x="0" y="0"/>
                    <a:ext cx="7762875" cy="93387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680"/>
        <w:tab w:val="right" w:leader="none" w:pos="9360"/>
        <w:tab w:val="right" w:leader="none" w:pos="10184"/>
      </w:tabs>
      <w:spacing w:line="240" w:lineRule="auto"/>
      <w:jc w:val="center"/>
      <w:rPr>
        <w:sz w:val="7"/>
        <w:szCs w:val="7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-1105632</wp:posOffset>
              </wp:positionH>
              <wp:positionV relativeFrom="paragraph">
                <wp:posOffset>-457199</wp:posOffset>
              </wp:positionV>
              <wp:extent cx="8249383" cy="1671638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14075" y="2974800"/>
                        <a:ext cx="8249383" cy="1671638"/>
                        <a:chOff x="1414075" y="2974800"/>
                        <a:chExt cx="7863850" cy="1610400"/>
                      </a:xfrm>
                    </wpg:grpSpPr>
                    <wpg:grpSp>
                      <wpg:cNvGrpSpPr/>
                      <wpg:grpSpPr>
                        <a:xfrm>
                          <a:off x="1414080" y="2974820"/>
                          <a:ext cx="7863840" cy="1610360"/>
                          <a:chOff x="1414075" y="2974800"/>
                          <a:chExt cx="7863850" cy="1610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14075" y="2974800"/>
                            <a:ext cx="7863850" cy="161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14080" y="2974820"/>
                            <a:ext cx="7863840" cy="1610360"/>
                            <a:chOff x="1414075" y="2974800"/>
                            <a:chExt cx="7863850" cy="1610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14075" y="2974800"/>
                              <a:ext cx="7863850" cy="161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14080" y="2974820"/>
                              <a:ext cx="7863840" cy="1610360"/>
                              <a:chOff x="1414075" y="2974800"/>
                              <a:chExt cx="7863850" cy="16104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414075" y="2974800"/>
                                <a:ext cx="7863850" cy="161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14080" y="2974820"/>
                                <a:ext cx="7863840" cy="1610360"/>
                                <a:chOff x="1414075" y="2974800"/>
                                <a:chExt cx="7863850" cy="1610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414075" y="2974800"/>
                                  <a:ext cx="7863850" cy="161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14080" y="2974820"/>
                                  <a:ext cx="7863840" cy="1610360"/>
                                  <a:chOff x="0" y="0"/>
                                  <a:chExt cx="7863840" cy="161036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863825" cy="1610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A picture containing icon  Description automatically generated"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 amt="50000"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 flipH="1">
                                    <a:off x="95250" y="228600"/>
                                    <a:ext cx="7767955" cy="1247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A picture containing icon  Description automatically generated"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 amt="50000"/>
                                  </a:blip>
                                  <a:srcRect b="0" l="0" r="39356" t="0"/>
                                  <a:stretch/>
                                </pic:blipFill>
                                <pic:spPr>
                                  <a:xfrm>
                                    <a:off x="95250" y="222250"/>
                                    <a:ext cx="4705350" cy="1247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4" name="Shape 14"/>
                                  <pic:cNvPicPr preferRelativeResize="0"/>
                                </pic:nvPicPr>
                                <pic:blipFill rotWithShape="1">
                                  <a:blip r:embed="rId2">
                                    <a:alphaModFix/>
                                  </a:blip>
                                  <a:srcRect b="29036" l="0" r="0" t="2914"/>
                                  <a:stretch/>
                                </pic:blipFill>
                                <pic:spPr>
                                  <a:xfrm>
                                    <a:off x="990600" y="590550"/>
                                    <a:ext cx="5943600" cy="10198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Background pattern  Description automatically generated" id="15" name="Shape 15"/>
                                  <pic:cNvPicPr preferRelativeResize="0"/>
                                </pic:nvPicPr>
                                <pic:blipFill rotWithShape="1">
                                  <a:blip r:embed="rId3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863840" cy="396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-1105632</wp:posOffset>
              </wp:positionH>
              <wp:positionV relativeFrom="paragraph">
                <wp:posOffset>-457199</wp:posOffset>
              </wp:positionV>
              <wp:extent cx="8249383" cy="1671638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49383" cy="16716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3">
    <w:pPr>
      <w:tabs>
        <w:tab w:val="center" w:leader="none" w:pos="4680"/>
        <w:tab w:val="right" w:leader="none" w:pos="9360"/>
        <w:tab w:val="right" w:leader="none" w:pos="10184"/>
      </w:tabs>
      <w:spacing w:line="240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28F Unit 2803 Summit One Tower 530 Shaw Boulevard, Mandaluyong City</w:t>
    </w:r>
  </w:p>
  <w:p w:rsidR="00000000" w:rsidDel="00000000" w:rsidP="00000000" w:rsidRDefault="00000000" w:rsidRPr="00000000" w14:paraId="00000004">
    <w:pPr>
      <w:tabs>
        <w:tab w:val="center" w:leader="none" w:pos="4680"/>
        <w:tab w:val="right" w:leader="none" w:pos="9360"/>
      </w:tabs>
      <w:spacing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Phone: </w:t>
    </w:r>
    <w:r w:rsidDel="00000000" w:rsidR="00000000" w:rsidRPr="00000000">
      <w:rPr>
        <w:sz w:val="16"/>
        <w:szCs w:val="16"/>
        <w:rtl w:val="0"/>
      </w:rPr>
      <w:t xml:space="preserve">(+63) 9189856659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E-Mail:</w:t>
    </w:r>
    <w:r w:rsidDel="00000000" w:rsidR="00000000" w:rsidRPr="00000000">
      <w:rPr>
        <w:sz w:val="16"/>
        <w:szCs w:val="16"/>
        <w:rtl w:val="0"/>
      </w:rPr>
      <w:t xml:space="preserve"> </w:t>
    </w:r>
    <w:hyperlink r:id="rId5">
      <w:r w:rsidDel="00000000" w:rsidR="00000000" w:rsidRPr="00000000">
        <w:rPr>
          <w:color w:val="0563c1"/>
          <w:sz w:val="16"/>
          <w:szCs w:val="16"/>
          <w:u w:val="single"/>
          <w:rtl w:val="0"/>
        </w:rPr>
        <w:t xml:space="preserve">ulapnatsec@gmail.com</w:t>
      </w:r>
    </w:hyperlink>
    <w:r w:rsidDel="00000000" w:rsidR="00000000" w:rsidRPr="00000000">
      <w:rPr>
        <w:sz w:val="16"/>
        <w:szCs w:val="16"/>
        <w:rtl w:val="0"/>
      </w:rPr>
      <w:t xml:space="preserve">, </w:t>
    </w:r>
    <w:hyperlink r:id="rId6">
      <w:r w:rsidDel="00000000" w:rsidR="00000000" w:rsidRPr="00000000">
        <w:rPr>
          <w:color w:val="0563c1"/>
          <w:sz w:val="16"/>
          <w:szCs w:val="16"/>
          <w:u w:val="single"/>
          <w:rtl w:val="0"/>
        </w:rPr>
        <w:t xml:space="preserve">secretariat@ulap.net.ph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tabs>
        <w:tab w:val="center" w:leader="none" w:pos="4680"/>
        <w:tab w:val="right" w:leader="none" w:pos="9360"/>
      </w:tabs>
      <w:spacing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Website:</w:t>
    </w:r>
    <w:r w:rsidDel="00000000" w:rsidR="00000000" w:rsidRPr="00000000">
      <w:rPr>
        <w:sz w:val="16"/>
        <w:szCs w:val="16"/>
        <w:rtl w:val="0"/>
      </w:rPr>
      <w:t xml:space="preserve"> </w:t>
    </w:r>
    <w:hyperlink r:id="rId7">
      <w:r w:rsidDel="00000000" w:rsidR="00000000" w:rsidRPr="00000000">
        <w:rPr>
          <w:color w:val="0563c1"/>
          <w:sz w:val="16"/>
          <w:szCs w:val="16"/>
          <w:u w:val="single"/>
          <w:rtl w:val="0"/>
        </w:rPr>
        <w:t xml:space="preserve">www.ulap.net.ph</w:t>
      </w:r>
    </w:hyperlink>
    <w:r w:rsidDel="00000000" w:rsidR="00000000" w:rsidRPr="00000000">
      <w:rPr>
        <w:sz w:val="16"/>
        <w:szCs w:val="16"/>
        <w:rtl w:val="0"/>
      </w:rPr>
      <w:t xml:space="preserve">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Facebook:</w:t>
    </w:r>
    <w:r w:rsidDel="00000000" w:rsidR="00000000" w:rsidRPr="00000000">
      <w:rPr>
        <w:sz w:val="16"/>
        <w:szCs w:val="16"/>
        <w:rtl w:val="0"/>
      </w:rPr>
      <w:t xml:space="preserve"> </w:t>
    </w:r>
    <w:hyperlink r:id="rId8">
      <w:r w:rsidDel="00000000" w:rsidR="00000000" w:rsidRPr="00000000">
        <w:rPr>
          <w:color w:val="0563c1"/>
          <w:sz w:val="16"/>
          <w:szCs w:val="16"/>
          <w:u w:val="single"/>
          <w:rtl w:val="0"/>
        </w:rPr>
        <w:t xml:space="preserve">www.facebook.com/ulap.net.ph</w:t>
      </w:r>
    </w:hyperlink>
    <w:r w:rsidDel="00000000" w:rsidR="00000000" w:rsidRPr="00000000">
      <w:rPr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06">
    <w:pPr>
      <w:pBdr>
        <w:bottom w:color="000000" w:space="1" w:sz="6" w:val="single"/>
      </w:pBdr>
      <w:tabs>
        <w:tab w:val="center" w:leader="none" w:pos="4680"/>
        <w:tab w:val="right" w:leader="none" w:pos="9360"/>
      </w:tabs>
      <w:spacing w:line="240" w:lineRule="auto"/>
      <w:ind w:left="-1134" w:right="-1097" w:firstLine="0"/>
      <w:rPr>
        <w:b w:val="1"/>
        <w:bCs w:val="1"/>
        <w:color w:val="002060"/>
        <w:sz w:val="15"/>
        <w:szCs w:val="15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160" w:line="259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jpg"/><Relationship Id="rId4" Type="http://schemas.openxmlformats.org/officeDocument/2006/relationships/image" Target="media/image2.png"/><Relationship Id="rId5" Type="http://schemas.openxmlformats.org/officeDocument/2006/relationships/hyperlink" Target="about:blank" TargetMode="Externa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