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 ON THE PROPOSED GOODVIBESTV GOVERNMENT</w:t>
      </w:r>
    </w:p>
    <w:p>
      <w:pPr>
        <w:spacing w:before="40" w:after="200" w:line="264" w:lineRule="auto"/>
        <w:jc w:val="center"/>
      </w:pPr>
      <w:r>
        <w:rPr>
          <w:rFonts w:ascii="Arial" w:hAnsi="Arial" w:cs="Arial"/>
          <w:b/>
          <w:bCs/>
          <w:sz w:val="24"/>
          <w:szCs w:val="24"/>
        </w:rPr>
        <w:t xml:space="preserve">COMMUNICATIONS PLATFORM AND DRAFT EXECUTIVE ORDER</w:t>
      </w:r>
    </w:p>
    <w:p>
      <w:pPr>
        <w:spacing w:before="0" w:after="140" w:line="264" w:lineRule="auto"/>
        <w:jc w:val="both"/>
      </w:pPr>
      <w:r>
        <w:rPr>
          <w:rFonts w:ascii="Arial" w:hAnsi="Arial" w:cs="Arial"/>
          <w:sz w:val="20"/>
          <w:szCs w:val="20"/>
        </w:rPr>
        <w:t xml:space="preserve">(Re: Proposal to mandate GoodVibesTV as the official government communications system for national government agencies, local government units, government-owned and controlled corporations, and barangays)</w:t>
      </w:r>
    </w:p>
    <w:p>
      <w:pPr>
        <w:spacing w:before="0" w:after="140" w:line="264" w:lineRule="auto"/>
        <w:jc w:val="both"/>
      </w:pPr>
      <w:r>
        <w:rPr>
          <w:rFonts w:ascii="Arial" w:hAnsi="Arial" w:cs="Arial"/>
          <w:sz w:val="20"/>
          <w:szCs w:val="20"/>
        </w:rPr>
        <w:t xml:space="preserve">The Union of Local Authorities of the Philippines (ULAP), as the national umbrella organization of local governments and local officials, recognizes the public value of timely, verified, and accessible government information. Local governments are on the front line of disaster advisories, public health announcements, social service notices, procurement disclosures, local ordinances, citizen charters, and emergency communications. A more coherent public communication ecosystem can support transparency, counter misinformation, and strengthen public trust.</w:t>
      </w:r>
    </w:p>
    <w:p>
      <w:pPr>
        <w:spacing w:before="0" w:after="140" w:line="264" w:lineRule="auto"/>
        <w:jc w:val="both"/>
      </w:pPr>
      <w:r>
        <w:rPr>
          <w:rFonts w:ascii="Arial" w:hAnsi="Arial" w:cs="Arial"/>
          <w:sz w:val="20"/>
          <w:szCs w:val="20"/>
        </w:rPr>
        <w:t xml:space="preserve">ULAP does not, however, recommend endorsement of the Executive Order in its present form. The draft would require all national agencies, LGUs, barangays, and GOCCs to adopt a named platform as the primary official channel for public information dissemination within 120 days; make DILG responsible for LGU compliance and possible SGLG integration; and allow operational sustainability to be sourced from agency and LGU allocations. Those features raise material legal, fiscal, procurement, data privacy, cybersecurity, and local autonomy concerns that should be resolved before any national endorsement, TWG action, or pilot implementation.</w:t>
      </w:r>
    </w:p>
    <w:p>
      <w:pPr>
        <w:keepNext/>
        <w:spacing w:before="220" w:after="100" w:line="264" w:lineRule="auto"/>
        <w:jc w:val="left"/>
      </w:pPr>
      <w:r>
        <w:rPr>
          <w:rFonts w:ascii="Arial" w:hAnsi="Arial" w:cs="Arial"/>
          <w:b/>
          <w:bCs/>
          <w:sz w:val="20"/>
          <w:szCs w:val="20"/>
        </w:rPr>
        <w:t xml:space="preserve">ULAP Comments</w:t>
      </w:r>
    </w:p>
    <w:p>
      <w:pPr>
        <w:keepNext/>
        <w:spacing w:before="180" w:after="90" w:line="264" w:lineRule="auto"/>
        <w:jc w:val="both"/>
      </w:pPr>
      <w:r>
        <w:rPr>
          <w:rFonts w:ascii="Arial" w:hAnsi="Arial" w:cs="Arial"/>
          <w:b/>
          <w:bCs/>
          <w:sz w:val="20"/>
          <w:szCs w:val="20"/>
        </w:rPr>
        <w:t xml:space="preserve">1. The policy objective is valid, but the instrument should be platform-neutral and interoperable.</w:t>
      </w:r>
    </w:p>
    <w:p>
      <w:pPr>
        <w:spacing w:before="0" w:after="140" w:line="264" w:lineRule="auto"/>
        <w:jc w:val="both"/>
      </w:pPr>
      <w:r>
        <w:rPr>
          <w:rFonts w:ascii="Arial" w:hAnsi="Arial" w:cs="Arial"/>
          <w:sz w:val="20"/>
          <w:szCs w:val="20"/>
        </w:rPr>
        <w:t xml:space="preserve">Government may strengthen verified public communications. What it should not do is hard-code a specific private or proponent-identified platform as the official communications system of all levels of government. The better approach is to define public-interest standards: authenticity, accessibility, archiving, interoperability with existing official websites and e-government systems, accessibility for persons with disabilities, disaster-resilient operation, privacy-by-design, cybersecurity, and multilingual or local-language support where needed.</w:t>
      </w:r>
    </w:p>
    <w:p>
      <w:pPr>
        <w:keepNext/>
        <w:spacing w:before="180" w:after="90" w:line="264" w:lineRule="auto"/>
        <w:jc w:val="both"/>
      </w:pPr>
      <w:r>
        <w:rPr>
          <w:rFonts w:ascii="Arial" w:hAnsi="Arial" w:cs="Arial"/>
          <w:b/>
          <w:bCs/>
          <w:sz w:val="20"/>
          <w:szCs w:val="20"/>
        </w:rPr>
        <w:t xml:space="preserve">2. Mandatory adoption by all LGUs requires careful treatment of local autonomy and operational capacity.</w:t>
      </w:r>
    </w:p>
    <w:p>
      <w:pPr>
        <w:spacing w:before="0" w:after="140" w:line="264" w:lineRule="auto"/>
        <w:jc w:val="both"/>
      </w:pPr>
      <w:r>
        <w:rPr>
          <w:rFonts w:ascii="Arial" w:hAnsi="Arial" w:cs="Arial"/>
          <w:sz w:val="20"/>
          <w:szCs w:val="20"/>
        </w:rPr>
        <w:t xml:space="preserve">Provinces, cities, municipalities, and barangays differ widely in personnel, connectivity, equipment, language needs, public information workflows, and budget space. A 120-day universal adoption mandate would be especially difficult for smaller municipalities and barangays unless accompanied by national funding, templates, training, technical assistance, offline or low-bandwidth options, help desk support, and a phased transition plan. No compliance system should treat lack of connectivity, procurement lead time, or absence of local capacity as governance failure.</w:t>
      </w:r>
    </w:p>
    <w:p>
      <w:pPr>
        <w:keepNext/>
        <w:spacing w:before="180" w:after="90" w:line="264" w:lineRule="auto"/>
        <w:jc w:val="both"/>
      </w:pPr>
      <w:r>
        <w:rPr>
          <w:rFonts w:ascii="Arial" w:hAnsi="Arial" w:cs="Arial"/>
          <w:b/>
          <w:bCs/>
          <w:sz w:val="20"/>
          <w:szCs w:val="20"/>
        </w:rPr>
        <w:t xml:space="preserve">3. The proposal requires procurement and public finance review before any endorsement.</w:t>
      </w:r>
    </w:p>
    <w:p>
      <w:pPr>
        <w:spacing w:before="0" w:after="140" w:line="264" w:lineRule="auto"/>
        <w:jc w:val="both"/>
      </w:pPr>
      <w:r>
        <w:rPr>
          <w:rFonts w:ascii="Arial" w:hAnsi="Arial" w:cs="Arial"/>
          <w:sz w:val="20"/>
          <w:szCs w:val="20"/>
        </w:rPr>
        <w:t xml:space="preserve">The materials describe a subscription model and projected recurring collections from barangays, cities, municipalities, provinces, and national agencies. A mandate that effectively requires government units to use or pay for a particular system must be tested against government procurement law, market scoping, competition, beneficial ownership disclosure, contract transparency, intellectual property and data ownership, open standards, auditability, and COA rules. If government needs such a system, it should be specified and procured through lawful, competitive, value-for-money processes, rather than by naming one platform in an Executive Order.</w:t>
      </w:r>
    </w:p>
    <w:p>
      <w:pPr>
        <w:keepNext/>
        <w:spacing w:before="180" w:after="90" w:line="264" w:lineRule="auto"/>
        <w:jc w:val="both"/>
      </w:pPr>
      <w:r>
        <w:rPr>
          <w:rFonts w:ascii="Arial" w:hAnsi="Arial" w:cs="Arial"/>
          <w:b/>
          <w:bCs/>
          <w:sz w:val="20"/>
          <w:szCs w:val="20"/>
        </w:rPr>
        <w:t xml:space="preserve">4. The data privacy and cybersecurity architecture must be settled before rollout.</w:t>
      </w:r>
    </w:p>
    <w:p>
      <w:pPr>
        <w:spacing w:before="0" w:after="140" w:line="264" w:lineRule="auto"/>
        <w:jc w:val="both"/>
      </w:pPr>
      <w:r>
        <w:rPr>
          <w:rFonts w:ascii="Arial" w:hAnsi="Arial" w:cs="Arial"/>
          <w:sz w:val="20"/>
          <w:szCs w:val="20"/>
        </w:rPr>
        <w:t xml:space="preserve">A government communications platform that verifies users, supports official accounts, hosts public content, stores analytics, or integrates with citizen identity systems may process personal information and operational data at scale. This requires a privacy impact assessment, clear data controller and processor roles, lawful basis for processing, data-sharing agreements where needed, retention and archiving rules, incident response procedures, penetration testing, security certification, and National Privacy Commission and DICT review. The Data Privacy Act protects privacy while allowing information flow for legitimate public purposes, and the design must satisfy both sides of that policy.</w:t>
      </w:r>
    </w:p>
    <w:p>
      <w:pPr>
        <w:keepNext/>
        <w:spacing w:before="180" w:after="90" w:line="264" w:lineRule="auto"/>
        <w:jc w:val="both"/>
      </w:pPr>
      <w:r>
        <w:rPr>
          <w:rFonts w:ascii="Arial" w:hAnsi="Arial" w:cs="Arial"/>
          <w:b/>
          <w:bCs/>
          <w:sz w:val="20"/>
          <w:szCs w:val="20"/>
        </w:rPr>
        <w:t xml:space="preserve">5. Content verification must not become overcentralized political control of local communications.</w:t>
      </w:r>
    </w:p>
    <w:p>
      <w:pPr>
        <w:spacing w:before="0" w:after="140" w:line="264" w:lineRule="auto"/>
        <w:jc w:val="both"/>
      </w:pPr>
      <w:r>
        <w:rPr>
          <w:rFonts w:ascii="Arial" w:hAnsi="Arial" w:cs="Arial"/>
          <w:sz w:val="20"/>
          <w:szCs w:val="20"/>
        </w:rPr>
        <w:t xml:space="preserve">The PCO may set standards for official national messaging and verification. LGUs must retain the ability to communicate local facts, advisories, ordinances, notices, and public service information within their legal mandates. Any content policy should distinguish official notices from public commentary, preserve the accountability of each issuing office, provide correction and appeals mechanisms, and avoid partisan or viewpoint-based moderation. Citizens need verified information, and they also need transparent rules on who may post, correct, archive, remove, or label official content.</w:t>
      </w:r>
    </w:p>
    <w:p>
      <w:pPr>
        <w:keepNext/>
        <w:spacing w:before="180" w:after="90" w:line="264" w:lineRule="auto"/>
        <w:jc w:val="both"/>
      </w:pPr>
      <w:r>
        <w:rPr>
          <w:rFonts w:ascii="Arial" w:hAnsi="Arial" w:cs="Arial"/>
          <w:b/>
          <w:bCs/>
          <w:sz w:val="20"/>
          <w:szCs w:val="20"/>
        </w:rPr>
        <w:t xml:space="preserve">6. SGLG integration should not be used as an enforcement shortcut.</w:t>
      </w:r>
    </w:p>
    <w:p>
      <w:pPr>
        <w:spacing w:before="0" w:after="140" w:line="264" w:lineRule="auto"/>
        <w:jc w:val="both"/>
      </w:pPr>
      <w:r>
        <w:rPr>
          <w:rFonts w:ascii="Arial" w:hAnsi="Arial" w:cs="Arial"/>
          <w:sz w:val="20"/>
          <w:szCs w:val="20"/>
        </w:rPr>
        <w:t xml:space="preserve">The Seal of Good Local Governance is a broad performance and incentive framework. Conditioning SGLG standing on adoption of a new communications platform before legal, fiscal, technical, and capacity safeguards are in place would be premature. If a communications indicator is eventually considered, it should measure outcome-based transparency and accessibility rather than mere enrollment in a specific platform.</w:t>
      </w:r>
    </w:p>
    <w:p>
      <w:pPr>
        <w:keepNext/>
        <w:spacing w:before="180" w:after="90" w:line="264" w:lineRule="auto"/>
        <w:jc w:val="both"/>
      </w:pPr>
      <w:r>
        <w:rPr>
          <w:rFonts w:ascii="Arial" w:hAnsi="Arial" w:cs="Arial"/>
          <w:b/>
          <w:bCs/>
          <w:sz w:val="20"/>
          <w:szCs w:val="20"/>
        </w:rPr>
        <w:t xml:space="preserve">7. ULAP may participate in a consultative TWG, but its role should be to protect local government interests, not to endorse a specific product absent due diligence.</w:t>
      </w:r>
    </w:p>
    <w:p>
      <w:pPr>
        <w:spacing w:before="0" w:after="140" w:line="264" w:lineRule="auto"/>
        <w:jc w:val="both"/>
      </w:pPr>
      <w:r>
        <w:rPr>
          <w:rFonts w:ascii="Arial" w:hAnsi="Arial" w:cs="Arial"/>
          <w:sz w:val="20"/>
          <w:szCs w:val="20"/>
        </w:rPr>
        <w:t xml:space="preserve">ULAP can help surface LGU realities, identify implementation risks, and propose safeguards. Any endorsement should come only after review by PCO, DICT, DILG, NPC, COA, GPPB, local leagues, and representative LGUs, and after the proponent clarifies ownership, financing, procurement route, platform governance, data rights, service levels, cybersecurity, and exit arrangements.</w:t>
      </w:r>
    </w:p>
    <w:p>
      <w:pPr>
        <w:keepNext/>
        <w:spacing w:before="220" w:after="100" w:line="264" w:lineRule="auto"/>
        <w:jc w:val="left"/>
      </w:pPr>
      <w:r>
        <w:rPr>
          <w:rFonts w:ascii="Arial" w:hAnsi="Arial" w:cs="Arial"/>
          <w:b/>
          <w:bCs/>
          <w:sz w:val="20"/>
          <w:szCs w:val="20"/>
        </w:rPr>
        <w:t xml:space="preserve">ULAP Position</w:t>
      </w:r>
    </w:p>
    <w:p>
      <w:pPr>
        <w:spacing w:before="0" w:after="140" w:line="264" w:lineRule="auto"/>
        <w:jc w:val="both"/>
      </w:pPr>
      <w:r>
        <w:rPr>
          <w:rFonts w:ascii="Arial" w:hAnsi="Arial" w:cs="Arial"/>
          <w:sz w:val="20"/>
          <w:szCs w:val="20"/>
        </w:rPr>
        <w:t xml:space="preserve">ULAP does not endorse the Executive Order as written. It supports the objective of improving verified government communications, subject to a revised policy-neutral framework and a full inter-agency and LGU due diligence process.</w:t>
      </w:r>
    </w:p>
    <w:p>
      <w:pPr>
        <w:spacing w:before="0" w:after="140" w:line="264" w:lineRule="auto"/>
        <w:jc w:val="both"/>
      </w:pPr>
      <w:r>
        <w:rPr>
          <w:rFonts w:ascii="Arial" w:hAnsi="Arial" w:cs="Arial"/>
          <w:sz w:val="20"/>
          <w:szCs w:val="20"/>
        </w:rPr>
        <w:t xml:space="preserve">Specifically, ULAP recommends the following:</w:t>
      </w:r>
    </w:p>
    <w:p>
      <w:pPr>
        <w:spacing w:before="0" w:after="140" w:line="264" w:lineRule="auto"/>
        <w:jc w:val="both"/>
      </w:pPr>
      <w:r>
        <w:rPr>
          <w:rFonts w:ascii="Arial" w:hAnsi="Arial" w:cs="Arial"/>
          <w:sz w:val="20"/>
          <w:szCs w:val="20"/>
        </w:rPr>
        <w:t xml:space="preserve">- Refer the proposal to PCO, DICT, DILG, NPC, COA, GPPB, and the local leagues for legal, technical, procurement, fiscal, privacy, and cybersecurity review before any endorsement.</w:t>
      </w:r>
    </w:p>
    <w:p>
      <w:pPr>
        <w:spacing w:before="0" w:after="140" w:line="264" w:lineRule="auto"/>
        <w:jc w:val="both"/>
      </w:pPr>
      <w:r>
        <w:rPr>
          <w:rFonts w:ascii="Arial" w:hAnsi="Arial" w:cs="Arial"/>
          <w:sz w:val="20"/>
          <w:szCs w:val="20"/>
        </w:rPr>
        <w:t xml:space="preserve">- Replace the named-platform mandate with platform-neutral standards for verified, accessible, archivable, interoperable, and secure government communications.</w:t>
      </w:r>
    </w:p>
    <w:p>
      <w:pPr>
        <w:spacing w:before="0" w:after="140" w:line="264" w:lineRule="auto"/>
        <w:jc w:val="both"/>
      </w:pPr>
      <w:r>
        <w:rPr>
          <w:rFonts w:ascii="Arial" w:hAnsi="Arial" w:cs="Arial"/>
          <w:sz w:val="20"/>
          <w:szCs w:val="20"/>
        </w:rPr>
        <w:t xml:space="preserve">- Remove any mandatory subscription or LGU funding obligation unless authorized by law, backed by appropriations, and implemented through lawful procurement and audit rules.</w:t>
      </w:r>
    </w:p>
    <w:p>
      <w:pPr>
        <w:spacing w:before="0" w:after="140" w:line="264" w:lineRule="auto"/>
        <w:jc w:val="both"/>
      </w:pPr>
      <w:r>
        <w:rPr>
          <w:rFonts w:ascii="Arial" w:hAnsi="Arial" w:cs="Arial"/>
          <w:sz w:val="20"/>
          <w:szCs w:val="20"/>
        </w:rPr>
        <w:t xml:space="preserve">- Use a voluntary, time-bound pilot with representative provinces, cities, municipalities, and barangays before any nationwide rollout.</w:t>
      </w:r>
    </w:p>
    <w:p>
      <w:pPr>
        <w:spacing w:before="0" w:after="140" w:line="264" w:lineRule="auto"/>
        <w:jc w:val="both"/>
      </w:pPr>
      <w:r>
        <w:rPr>
          <w:rFonts w:ascii="Arial" w:hAnsi="Arial" w:cs="Arial"/>
          <w:sz w:val="20"/>
          <w:szCs w:val="20"/>
        </w:rPr>
        <w:t xml:space="preserve">- Require national funding and technical assistance for onboarding, training, cybersecurity, content governance, and maintenance if the platform becomes an official national program.</w:t>
      </w:r>
    </w:p>
    <w:p>
      <w:pPr>
        <w:spacing w:before="0" w:after="140" w:line="264" w:lineRule="auto"/>
        <w:jc w:val="both"/>
      </w:pPr>
      <w:r>
        <w:rPr>
          <w:rFonts w:ascii="Arial" w:hAnsi="Arial" w:cs="Arial"/>
          <w:sz w:val="20"/>
          <w:szCs w:val="20"/>
        </w:rPr>
        <w:t xml:space="preserve">- Avoid SGLG linkage until the policy is mature, resourced, legally grounded, and measured by outcomes rather than platform enrollment.</w:t>
      </w:r>
    </w:p>
    <w:p>
      <w:pPr>
        <w:spacing w:before="0" w:after="140" w:line="264" w:lineRule="auto"/>
        <w:jc w:val="both"/>
      </w:pPr>
      <w:r>
        <w:rPr>
          <w:rFonts w:ascii="Arial" w:hAnsi="Arial" w:cs="Arial"/>
          <w:sz w:val="20"/>
          <w:szCs w:val="20"/>
        </w:rPr>
        <w:t xml:space="preserve">- Define ULAP participation as consultative and safeguards-focused, without implying endorsement of any private or proprietary platform.</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The government shall develop or adopt, through lawful and competitive processes, interoperable standards and secure systems for official public information dissemination, while respecting local autonomy, protecting personal data, ensuring cybersecurity, and providing national support for LGU implementation.</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stronger public communication, transparency, and information integrity. The proposal identifies a real governance challenge. The present Executive Order, however, moves too quickly from problem statement to mandatory adoption of a specific platform. A more defensible approach protects the public objective while requiring legal basis, procurement integrity, fiscal realism, data protection, cybersecurity, local autonomy, and phased implementation. On that basis, ULAP supports further study and consultation but does not endorse the Executive Order in its current form.</w:t>
      </w:r>
    </w:p>
    <w:p>
      <w:pPr>
        <w:spacing w:before="0" w:after="140" w:line="264" w:lineRule="auto"/>
        <w:jc w:val="both"/>
      </w:pPr>
      <w:r>
        <w:rPr>
          <w:rFonts w:ascii="Arial" w:hAnsi="Arial" w:cs="Arial"/>
          <w:sz w:val="20"/>
          <w:szCs w:val="20"/>
        </w:rPr>
        <w:t xml:space="preserve">Sources reviewed: forwarded ULAP Secretariat email dated 29 May 2026; GoodVibesTV proposal letter and attachments; Executive Order; prior ULAP paper on the proposed Right to Information Act; Republic Act No. 10173; Republic Act No. 10844; Republic Act No. 12009 and its IRR.</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