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 ON THE FINALIZATION OF THE DRAFT IMPLEMENTING</w:t>
      </w:r>
    </w:p>
    <w:p>
      <w:pPr>
        <w:spacing w:before="40" w:after="200" w:line="264" w:lineRule="auto"/>
        <w:jc w:val="center"/>
      </w:pPr>
      <w:r>
        <w:rPr>
          <w:rFonts w:ascii="Arial" w:hAnsi="Arial" w:cs="Arial"/>
          <w:b/>
          <w:bCs/>
          <w:sz w:val="24"/>
          <w:szCs w:val="24"/>
        </w:rPr>
        <w:t xml:space="preserve">RULES AND REGULATIONS OF EXECUTIVE ORDER NO. 103, S. 2025 (AMENDING EXECUTIVE ORDER NO. 138, S. 2021)</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the timely finalization of the Implementing Rules and Regulations (IRR) of Executive Order No. 103, s. 2025, provided that the final text gives full operational effect to the President's directive to make devolution service-delivery-oriented, fiscally realistic, and protective of local autonomy. The IRR should do more than extend the transition period under Executive Order No. 138, s. 2021. It should correct the implementation weaknesses that made the original transition difficult for both national government agencies (NGAs) and local government units (LGUs).</w:t>
      </w:r>
    </w:p>
    <w:p>
      <w:pPr>
        <w:spacing w:before="0" w:after="140" w:line="264" w:lineRule="auto"/>
        <w:jc w:val="both"/>
      </w:pPr>
      <w:r>
        <w:rPr>
          <w:rFonts w:ascii="Arial" w:hAnsi="Arial" w:cs="Arial"/>
          <w:sz w:val="20"/>
          <w:szCs w:val="20"/>
        </w:rPr>
        <w:t xml:space="preserve">ULAP's principal position is that finalization should proceed only with clear safeguards on fiscal capacity, readiness, service standards, sequencing, and national-local support arrangements. These safeguards are necessary to prevent unfunded mandates, avoid interruption of basic services, and ensure that the transition remains anchored on subsidiarity, evidence, and actual LGU capacity.</w:t>
      </w:r>
    </w:p>
    <w:p>
      <w:pPr>
        <w:keepNext/>
        <w:spacing w:before="220" w:after="100" w:line="264" w:lineRule="auto"/>
        <w:jc w:val="left"/>
      </w:pPr>
      <w:r>
        <w:rPr>
          <w:rFonts w:ascii="Arial" w:hAnsi="Arial" w:cs="Arial"/>
          <w:b/>
          <w:bCs/>
          <w:sz w:val="20"/>
          <w:szCs w:val="20"/>
        </w:rPr>
        <w:t xml:space="preserve">Context</w:t>
      </w:r>
    </w:p>
    <w:p>
      <w:pPr>
        <w:spacing w:before="0" w:after="140" w:line="264" w:lineRule="auto"/>
        <w:jc w:val="both"/>
      </w:pPr>
      <w:r>
        <w:rPr>
          <w:rFonts w:ascii="Arial" w:hAnsi="Arial" w:cs="Arial"/>
          <w:sz w:val="20"/>
          <w:szCs w:val="20"/>
        </w:rPr>
        <w:t xml:space="preserve">The invitation transmitted by the DBM Committee of Devolution (ComDev) Secretariat refers to the finalization of the draft IRR of EO No. 103, s. 2025, which amends EO No. 138, s. 2021. ULAP has already submitted detailed comments on the DBM/ComDev draft IRR and Draft Annex A dated 09 March 2026, and a second submission proposing refinements to Annex A. These submissions remain part of ULAP's position during the 12th Committee of Devolution meeting.</w:t>
      </w:r>
    </w:p>
    <w:p>
      <w:pPr>
        <w:spacing w:before="0" w:after="140" w:line="264" w:lineRule="auto"/>
        <w:jc w:val="both"/>
      </w:pPr>
      <w:r>
        <w:rPr>
          <w:rFonts w:ascii="Arial" w:hAnsi="Arial" w:cs="Arial"/>
          <w:sz w:val="20"/>
          <w:szCs w:val="20"/>
        </w:rPr>
        <w:t xml:space="preserve">The core policy issue is not whether devolution should continue. ULAP supports meaningful local autonomy and a stronger role for LGUs in national development. The question is how devolution should be implemented so that functions, standards, funding, and capacity are aligned. The Mandanas-Garcia ruling created a fiscal and institutional opportunity, but it did not eliminate the need for careful assignment of responsibilities, realistic costing, and continued national support where LGU capacity is still insufficient.</w:t>
      </w:r>
    </w:p>
    <w:p>
      <w:pPr>
        <w:keepNext/>
        <w:spacing w:before="220" w:after="100" w:line="264" w:lineRule="auto"/>
        <w:jc w:val="left"/>
      </w:pPr>
      <w:r>
        <w:rPr>
          <w:rFonts w:ascii="Arial" w:hAnsi="Arial" w:cs="Arial"/>
          <w:b/>
          <w:bCs/>
          <w:sz w:val="20"/>
          <w:szCs w:val="20"/>
        </w:rPr>
        <w:t xml:space="preserve">Principal Recommendations</w:t>
      </w:r>
    </w:p>
    <w:p>
      <w:pPr>
        <w:keepNext/>
        <w:spacing w:before="180" w:after="90" w:line="264" w:lineRule="auto"/>
        <w:jc w:val="both"/>
      </w:pPr>
      <w:r>
        <w:rPr>
          <w:rFonts w:ascii="Arial" w:hAnsi="Arial" w:cs="Arial"/>
          <w:b/>
          <w:bCs/>
          <w:sz w:val="20"/>
          <w:szCs w:val="20"/>
        </w:rPr>
        <w:t xml:space="preserve">1. Adopt a common fiscal-capacity and readiness framework under the ComDev.</w:t>
      </w:r>
    </w:p>
    <w:p>
      <w:pPr>
        <w:spacing w:before="0" w:after="140" w:line="264" w:lineRule="auto"/>
        <w:jc w:val="both"/>
      </w:pPr>
      <w:r>
        <w:rPr>
          <w:rFonts w:ascii="Arial" w:hAnsi="Arial" w:cs="Arial"/>
          <w:sz w:val="20"/>
          <w:szCs w:val="20"/>
        </w:rPr>
        <w:t xml:space="preserve">The final IRR should require the ComDev, with DBM, DILG, DOF-BLGF, DEPDev, ULAP, and the LGU leagues, to adopt a common framework for assessing fiscal, technical, and administrative readiness. This framework should include service-delivery standards, cost benchmarks, readiness indicators, fiscal-gap analysis, and trigger mechanisms for support.</w:t>
      </w:r>
    </w:p>
    <w:p>
      <w:pPr>
        <w:spacing w:before="0" w:after="140" w:line="264" w:lineRule="auto"/>
        <w:jc w:val="both"/>
      </w:pPr>
      <w:r>
        <w:rPr>
          <w:rFonts w:ascii="Arial" w:hAnsi="Arial" w:cs="Arial"/>
          <w:sz w:val="20"/>
          <w:szCs w:val="20"/>
        </w:rPr>
        <w:t xml:space="preserve">Without a common framework, each NGA may continue applying different assumptions about costs, standards, personnel, facilities, and readiness. That would weaken harmonization and expose LGUs to assignments that are legally devolved but fiscally or technically unsupported. The final IRR should make the framework mandatory for NGA and LGU planning, not merely advisory.</w:t>
      </w:r>
    </w:p>
    <w:p>
      <w:pPr>
        <w:keepNext/>
        <w:spacing w:before="180" w:after="90" w:line="264" w:lineRule="auto"/>
        <w:jc w:val="both"/>
      </w:pPr>
      <w:r>
        <w:rPr>
          <w:rFonts w:ascii="Arial" w:hAnsi="Arial" w:cs="Arial"/>
          <w:b/>
          <w:bCs/>
          <w:sz w:val="20"/>
          <w:szCs w:val="20"/>
        </w:rPr>
        <w:t xml:space="preserve">2. Clarify that Annex A is an indicative planning and decision-support matrix.</w:t>
      </w:r>
    </w:p>
    <w:p>
      <w:pPr>
        <w:spacing w:before="0" w:after="140" w:line="264" w:lineRule="auto"/>
        <w:jc w:val="both"/>
      </w:pPr>
      <w:r>
        <w:rPr>
          <w:rFonts w:ascii="Arial" w:hAnsi="Arial" w:cs="Arial"/>
          <w:sz w:val="20"/>
          <w:szCs w:val="20"/>
        </w:rPr>
        <w:t xml:space="preserve">ULAP reiterates that Annex A should not be framed or implemented as a self-executing transfer schedule. It should be treated as an indicative matrix for transition planning, harmonization, validation, and review. Any assignment or proposed reassignment reflected in Annex A should remain subject to applicable law, retained NGA mandates, service standards, fiscal-capacity assessment, and ComDev validation.</w:t>
      </w:r>
    </w:p>
    <w:p>
      <w:pPr>
        <w:spacing w:before="0" w:after="140" w:line="264" w:lineRule="auto"/>
        <w:jc w:val="both"/>
      </w:pPr>
      <w:r>
        <w:rPr>
          <w:rFonts w:ascii="Arial" w:hAnsi="Arial" w:cs="Arial"/>
          <w:sz w:val="20"/>
          <w:szCs w:val="20"/>
        </w:rPr>
        <w:t xml:space="preserve">ULAP recommends retaining the substance of its 27 April 2026 submission by clarifying the title and legend of Annex A. The title may refer to an "Indicative Matrix for Devolution Transition on the Assignment and Proposed Reassignment of Basic Services and Facilities under Section 17 of the Local Government Code of 1991." The legend should distinguish baseline statutory assignments from proposed transition arrangements and should make clear that proposed reassignments are subject to law, standards, and capacity assessment.</w:t>
      </w:r>
    </w:p>
    <w:p>
      <w:pPr>
        <w:keepNext/>
        <w:spacing w:before="180" w:after="90" w:line="264" w:lineRule="auto"/>
        <w:jc w:val="both"/>
      </w:pPr>
      <w:r>
        <w:rPr>
          <w:rFonts w:ascii="Arial" w:hAnsi="Arial" w:cs="Arial"/>
          <w:b/>
          <w:bCs/>
          <w:sz w:val="20"/>
          <w:szCs w:val="20"/>
        </w:rPr>
        <w:t xml:space="preserve">3. Strengthen sequencing between NGA and LGU Devolution Transition Plans.</w:t>
      </w:r>
    </w:p>
    <w:p>
      <w:pPr>
        <w:spacing w:before="0" w:after="140" w:line="264" w:lineRule="auto"/>
        <w:jc w:val="both"/>
      </w:pPr>
      <w:r>
        <w:rPr>
          <w:rFonts w:ascii="Arial" w:hAnsi="Arial" w:cs="Arial"/>
          <w:sz w:val="20"/>
          <w:szCs w:val="20"/>
        </w:rPr>
        <w:t xml:space="preserve">The final IRR should require NGAs to complete and disseminate the core assignment, service-standard, cost, capacity-development, and readiness components of their Devolution Transition Plans before LGUs are required to finalize their corresponding plans. LGUs cannot prepare credible local transition plans if national parameters remain unsettled.</w:t>
      </w:r>
    </w:p>
    <w:p>
      <w:pPr>
        <w:spacing w:before="0" w:after="140" w:line="264" w:lineRule="auto"/>
        <w:jc w:val="both"/>
      </w:pPr>
      <w:r>
        <w:rPr>
          <w:rFonts w:ascii="Arial" w:hAnsi="Arial" w:cs="Arial"/>
          <w:sz w:val="20"/>
          <w:szCs w:val="20"/>
        </w:rPr>
        <w:t xml:space="preserve">At minimum, no LGU transition plan should be treated as final for review purposes unless the relevant NGA has already made available the information necessary for local planning: what is being assigned, what standard applies, what the minimum cost is, what support will be available, and what phasing assumptions govern implementation.</w:t>
      </w:r>
    </w:p>
    <w:p>
      <w:pPr>
        <w:keepNext/>
        <w:spacing w:before="180" w:after="90" w:line="264" w:lineRule="auto"/>
        <w:jc w:val="both"/>
      </w:pPr>
      <w:r>
        <w:rPr>
          <w:rFonts w:ascii="Arial" w:hAnsi="Arial" w:cs="Arial"/>
          <w:b/>
          <w:bCs/>
          <w:sz w:val="20"/>
          <w:szCs w:val="20"/>
        </w:rPr>
        <w:t xml:space="preserve">4. Require formal support instruments where fiscal gaps or readiness constraints are shown.</w:t>
      </w:r>
    </w:p>
    <w:p>
      <w:pPr>
        <w:spacing w:before="0" w:after="140" w:line="264" w:lineRule="auto"/>
        <w:jc w:val="both"/>
      </w:pPr>
      <w:r>
        <w:rPr>
          <w:rFonts w:ascii="Arial" w:hAnsi="Arial" w:cs="Arial"/>
          <w:sz w:val="20"/>
          <w:szCs w:val="20"/>
        </w:rPr>
        <w:t xml:space="preserve">Where a fiscal-gap or readiness assessment shows that an LGU or class of LGUs cannot yet sustainably assume a function at the required service standard, the IRR should require a formal support arrangement. The instrument may be a memorandum of agreement, memorandum of understanding, joint memorandum circular, or similar issuance. It should identify the function, service standard, financing or cost-sharing arrangement, technical assistance, implementation timeline, and conditions for review or eventual transfer.</w:t>
      </w:r>
    </w:p>
    <w:p>
      <w:pPr>
        <w:spacing w:before="0" w:after="140" w:line="264" w:lineRule="auto"/>
        <w:jc w:val="both"/>
      </w:pPr>
      <w:r>
        <w:rPr>
          <w:rFonts w:ascii="Arial" w:hAnsi="Arial" w:cs="Arial"/>
          <w:sz w:val="20"/>
          <w:szCs w:val="20"/>
        </w:rPr>
        <w:t xml:space="preserve">This is an implementation safeguard required by subsidiarity, not a retreat from devolution. Functions should be exercised at the most appropriate level, but higher levels of government must provide support where scale, spillover effects, capacity, or service-delivery realities require it.</w:t>
      </w:r>
    </w:p>
    <w:p>
      <w:pPr>
        <w:keepNext/>
        <w:spacing w:before="180" w:after="90" w:line="264" w:lineRule="auto"/>
        <w:jc w:val="both"/>
      </w:pPr>
      <w:r>
        <w:rPr>
          <w:rFonts w:ascii="Arial" w:hAnsi="Arial" w:cs="Arial"/>
          <w:b/>
          <w:bCs/>
          <w:sz w:val="20"/>
          <w:szCs w:val="20"/>
        </w:rPr>
        <w:t xml:space="preserve">5. Prioritize capacity-constrained and geographically disadvantaged LGUs.</w:t>
      </w:r>
    </w:p>
    <w:p>
      <w:pPr>
        <w:spacing w:before="0" w:after="140" w:line="264" w:lineRule="auto"/>
        <w:jc w:val="both"/>
      </w:pPr>
      <w:r>
        <w:rPr>
          <w:rFonts w:ascii="Arial" w:hAnsi="Arial" w:cs="Arial"/>
          <w:sz w:val="20"/>
          <w:szCs w:val="20"/>
        </w:rPr>
        <w:t xml:space="preserve">The final IRR should operationalize EO No. 103's intent to prioritize support for 4th and 5th income class LGUs, poor and lagging localities, and geographically isolated and disadvantaged areas. Prioritization should not be rhetorical. It should affect sequencing, technical assistance, funding support, transition review, and monitoring.</w:t>
      </w:r>
    </w:p>
    <w:p>
      <w:pPr>
        <w:keepNext/>
        <w:spacing w:before="180" w:after="90" w:line="264" w:lineRule="auto"/>
        <w:jc w:val="both"/>
      </w:pPr>
      <w:r>
        <w:rPr>
          <w:rFonts w:ascii="Arial" w:hAnsi="Arial" w:cs="Arial"/>
          <w:b/>
          <w:bCs/>
          <w:sz w:val="20"/>
          <w:szCs w:val="20"/>
        </w:rPr>
        <w:t xml:space="preserve">6. Correct textual and technical issues before final approval.</w:t>
      </w:r>
    </w:p>
    <w:p>
      <w:pPr>
        <w:spacing w:before="0" w:after="140" w:line="264" w:lineRule="auto"/>
        <w:jc w:val="both"/>
      </w:pPr>
      <w:r>
        <w:rPr>
          <w:rFonts w:ascii="Arial" w:hAnsi="Arial" w:cs="Arial"/>
          <w:sz w:val="20"/>
          <w:szCs w:val="20"/>
        </w:rPr>
        <w:t xml:space="preserve">ULAP's earlier technical comments are retained for final review. These include correcting references to Annex A or Annex A1, updating outdated budget-year references, checking internal cross-references on the LGU Devolution Transition Committee, and ensuring that the terminology used in the IRR does not reduce transition planning to a checklist for transferring functions.</w:t>
      </w:r>
    </w:p>
    <w:p>
      <w:pPr>
        <w:keepNext/>
        <w:spacing w:before="220" w:after="100" w:line="264" w:lineRule="auto"/>
        <w:jc w:val="left"/>
      </w:pPr>
      <w:r>
        <w:rPr>
          <w:rFonts w:ascii="Arial" w:hAnsi="Arial" w:cs="Arial"/>
          <w:b/>
          <w:bCs/>
          <w:sz w:val="20"/>
          <w:szCs w:val="20"/>
        </w:rPr>
        <w:t xml:space="preserve">ULAP Position for the ComDev Meeting</w:t>
      </w:r>
    </w:p>
    <w:p>
      <w:pPr>
        <w:spacing w:before="0" w:after="140" w:line="264" w:lineRule="auto"/>
        <w:jc w:val="both"/>
      </w:pPr>
      <w:r>
        <w:rPr>
          <w:rFonts w:ascii="Arial" w:hAnsi="Arial" w:cs="Arial"/>
          <w:sz w:val="20"/>
          <w:szCs w:val="20"/>
        </w:rPr>
        <w:t xml:space="preserve">For the 12th Committee of Devolution meeting, ULAP supports finalization of the IRR of EO No. 103, s. 2025, subject to the following position: the final text should clearly recognize that devolution must be capacity-based, service-delivery-oriented, and implemented through a common readiness framework; that Annex A is an indicative planning matrix rather than a self-executing transfer schedule; that NGA parameters must precede LGU plan finalization; and that formal support instruments must be required where fiscal gaps or readiness constraints are identified.</w:t>
      </w:r>
    </w:p>
    <w:p>
      <w:pPr>
        <w:keepNext/>
        <w:spacing w:before="220" w:after="100" w:line="264" w:lineRule="auto"/>
        <w:jc w:val="left"/>
      </w:pPr>
      <w:r>
        <w:rPr>
          <w:rFonts w:ascii="Arial" w:hAnsi="Arial" w:cs="Arial"/>
          <w:b/>
          <w:bCs/>
          <w:sz w:val="20"/>
          <w:szCs w:val="20"/>
        </w:rPr>
        <w:t xml:space="preserve">Implementation Safeguards</w:t>
      </w:r>
    </w:p>
    <w:p>
      <w:pPr>
        <w:spacing w:before="0" w:after="140" w:line="264" w:lineRule="auto"/>
        <w:jc w:val="both"/>
      </w:pPr>
      <w:r>
        <w:rPr>
          <w:rFonts w:ascii="Arial" w:hAnsi="Arial" w:cs="Arial"/>
          <w:sz w:val="20"/>
          <w:szCs w:val="20"/>
        </w:rPr>
        <w:t xml:space="preserve">The following implementation safeguards should be embedded in the final IRR or in immediately related ComDev issuances:</w:t>
      </w:r>
    </w:p>
    <w:p>
      <w:pPr>
        <w:spacing w:before="0" w:after="140" w:line="264" w:lineRule="auto"/>
        <w:jc w:val="both"/>
      </w:pPr>
      <w:r>
        <w:rPr>
          <w:rFonts w:ascii="Arial" w:hAnsi="Arial" w:cs="Arial"/>
          <w:sz w:val="20"/>
          <w:szCs w:val="20"/>
        </w:rPr>
        <w:t xml:space="preserve">First, the ComDev should publish the common readiness and fiscal-capacity framework within a fixed period after the IRR takes effect.</w:t>
      </w:r>
    </w:p>
    <w:p>
      <w:pPr>
        <w:spacing w:before="0" w:after="140" w:line="264" w:lineRule="auto"/>
        <w:jc w:val="both"/>
      </w:pPr>
      <w:r>
        <w:rPr>
          <w:rFonts w:ascii="Arial" w:hAnsi="Arial" w:cs="Arial"/>
          <w:sz w:val="20"/>
          <w:szCs w:val="20"/>
        </w:rPr>
        <w:t xml:space="preserve">Second, NGAs should be required to disclose service standards, cost assumptions, personnel and facility requirements, phasing assumptions, and support commitments before LGU plan finalization.</w:t>
      </w:r>
    </w:p>
    <w:p>
      <w:pPr>
        <w:spacing w:before="0" w:after="140" w:line="264" w:lineRule="auto"/>
        <w:jc w:val="both"/>
      </w:pPr>
      <w:r>
        <w:rPr>
          <w:rFonts w:ascii="Arial" w:hAnsi="Arial" w:cs="Arial"/>
          <w:sz w:val="20"/>
          <w:szCs w:val="20"/>
        </w:rPr>
        <w:t xml:space="preserve">Third, DBM, DILG, DOF-BLGF, and DEPDev should jointly validate fiscal-gap findings and identify corresponding financing or augmentation mechanisms.</w:t>
      </w:r>
    </w:p>
    <w:p>
      <w:pPr>
        <w:spacing w:before="0" w:after="140" w:line="264" w:lineRule="auto"/>
        <w:jc w:val="both"/>
      </w:pPr>
      <w:r>
        <w:rPr>
          <w:rFonts w:ascii="Arial" w:hAnsi="Arial" w:cs="Arial"/>
          <w:sz w:val="20"/>
          <w:szCs w:val="20"/>
        </w:rPr>
        <w:t xml:space="preserve">Fourth, LGU leagues and ULAP shall have a continuing consultative role in reviewing Annex A implementation, especially where assignments depart from the DILG-ULAP unbundling outputs or impose material service-delivery obligations on LGUs.</w:t>
      </w:r>
    </w:p>
    <w:p>
      <w:pPr>
        <w:spacing w:before="0" w:after="140" w:line="264" w:lineRule="auto"/>
        <w:jc w:val="both"/>
      </w:pPr>
      <w:r>
        <w:rPr>
          <w:rFonts w:ascii="Arial" w:hAnsi="Arial" w:cs="Arial"/>
          <w:sz w:val="20"/>
          <w:szCs w:val="20"/>
        </w:rPr>
        <w:t xml:space="preserve">Fifth, monitoring should focus not only on whether functions were transferred, but on whether services were delivered at the required standard without degrading local fiscal stability or local autonomy.</w:t>
      </w:r>
    </w:p>
    <w:p>
      <w:pPr>
        <w:keepNext/>
        <w:spacing w:before="220" w:after="100" w:line="264" w:lineRule="auto"/>
        <w:jc w:val="left"/>
      </w:pPr>
      <w:r>
        <w:rPr>
          <w:rFonts w:ascii="Arial" w:hAnsi="Arial" w:cs="Arial"/>
          <w:b/>
          <w:bCs/>
          <w:sz w:val="20"/>
          <w:szCs w:val="20"/>
        </w:rPr>
        <w:t xml:space="preserve">Sources Consulted</w:t>
      </w:r>
    </w:p>
    <w:p>
      <w:pPr>
        <w:spacing w:before="0" w:after="140" w:line="264" w:lineRule="auto"/>
        <w:jc w:val="both"/>
      </w:pPr>
      <w:r>
        <w:rPr>
          <w:rFonts w:ascii="Arial" w:hAnsi="Arial" w:cs="Arial"/>
          <w:sz w:val="20"/>
          <w:szCs w:val="20"/>
        </w:rPr>
        <w:t xml:space="preserve">This position paper draws on ULAP's 8 April 2026 comments on the DBM/ComDev draft IRR and Draft Annex A dated 09 March 2026; ULAP's 27 April 2026 second submission on Annex A title and legend; ULAP's service-delivery-oriented framework brief on EO 138 amendment; the UNDP-supported Mandanas devolution background material located in ULAP Drive; and the DBM ComDev Secretariat final call for comments/inputs received on 4 June 2026, with comments due 11 June 2026.</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respectfully submits that the final IRR can become a constructive correction to the original EO No. 138 implementation framework if it is anchored on evidence, subsidiarity, and realistic support. The objective is neither delay nor mechanical transfer. It is a transition that protects local autonomy, strengthens service delivery, and gives both NGAs and LGUs a workable path for implementing the President's directive.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