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1980" w:lineRule="exact"/>
        <w:jc w:val="left"/>
      </w:pPr>
    </w:p>
    <w:p>
      <w:pPr>
        <w:spacing w:before="0" w:after="40" w:line="264" w:lineRule="auto"/>
        <w:jc w:val="center"/>
      </w:pPr>
      <w:r>
        <w:rPr>
          <w:rFonts w:ascii="Arial" w:hAnsi="Arial" w:cs="Arial"/>
          <w:b/>
          <w:bCs/>
          <w:sz w:val="24"/>
          <w:szCs w:val="24"/>
        </w:rPr>
        <w:t xml:space="preserve">ULAP POSITION PAPER: COMMENTS ON THE DRAFT MEMORANDUM ON THE INSPECTORATE</w:t>
      </w:r>
    </w:p>
    <w:p>
      <w:pPr>
        <w:spacing w:before="40" w:after="200" w:line="264" w:lineRule="auto"/>
        <w:jc w:val="center"/>
      </w:pPr>
      <w:r>
        <w:rPr>
          <w:rFonts w:ascii="Arial" w:hAnsi="Arial" w:cs="Arial"/>
          <w:b/>
          <w:bCs/>
          <w:sz w:val="24"/>
          <w:szCs w:val="24"/>
        </w:rPr>
        <w:t xml:space="preserve">TEAM FOR LIGTAS PINOY CENTERS (LPCs), VERSION 2</w:t>
      </w:r>
    </w:p>
    <w:p>
      <w:pPr>
        <w:spacing w:before="0" w:after="140" w:line="264" w:lineRule="auto"/>
        <w:jc w:val="both"/>
      </w:pPr>
      <w:r>
        <w:rPr>
          <w:rFonts w:ascii="Arial" w:hAnsi="Arial" w:cs="Arial"/>
          <w:sz w:val="20"/>
          <w:szCs w:val="20"/>
        </w:rPr>
        <w:t xml:space="preserve">On the Organization, Functions, and Operationalization of the Inspectorate Team for Ligtas Pinoy Centers under Republic Act No. 12076, the Ligtas Pinoy Centers Act.</w:t>
      </w:r>
    </w:p>
    <w:p>
      <w:pPr>
        <w:keepNext/>
        <w:spacing w:before="220" w:after="100" w:line="264" w:lineRule="auto"/>
        <w:jc w:val="left"/>
      </w:pPr>
      <w:r>
        <w:rPr>
          <w:rFonts w:ascii="Arial" w:hAnsi="Arial" w:cs="Arial"/>
          <w:b/>
          <w:bCs/>
          <w:sz w:val="20"/>
          <w:szCs w:val="20"/>
        </w:rPr>
        <w:t xml:space="preserve">Executive Position</w:t>
      </w:r>
    </w:p>
    <w:p>
      <w:pPr>
        <w:spacing w:before="0" w:after="140" w:line="264" w:lineRule="auto"/>
        <w:jc w:val="both"/>
      </w:pPr>
      <w:r>
        <w:rPr>
          <w:rFonts w:ascii="Arial" w:hAnsi="Arial" w:cs="Arial"/>
          <w:sz w:val="20"/>
          <w:szCs w:val="20"/>
        </w:rPr>
        <w:t xml:space="preserve">The Union of Local Authorities of the Philippines (ULAP) supports the issuance of clear national guidelines for organizing and operationalizing Inspectorate Teams for Ligtas Pinoy Centers (LPCs). A coordinated inspection system is necessary to ensure that LPCs are safe, technically compliant, disaster-ready, and usable by communities before, during, and after emergencies.</w:t>
      </w:r>
    </w:p>
    <w:p>
      <w:pPr>
        <w:spacing w:before="0" w:after="140" w:line="264" w:lineRule="auto"/>
        <w:jc w:val="both"/>
      </w:pPr>
      <w:r>
        <w:rPr>
          <w:rFonts w:ascii="Arial" w:hAnsi="Arial" w:cs="Arial"/>
          <w:sz w:val="20"/>
          <w:szCs w:val="20"/>
        </w:rPr>
        <w:t xml:space="preserve">ULAP recommends that the draft memorandum be refined before approval to make local government roles, national agency mandates, funding responsibilities, reporting protocols, and post-turnover support clearer and more implementation-ready. The memorandum should strengthen technical accountability without creating unfunded or ambiguous compliance burdens for beneficiary local government units (LGUs), particularly smaller, lower-income, island, upland, and geographically isolated LGUs.</w:t>
      </w:r>
    </w:p>
    <w:p>
      <w:pPr>
        <w:keepNext/>
        <w:spacing w:before="220" w:after="100" w:line="264" w:lineRule="auto"/>
        <w:jc w:val="left"/>
      </w:pPr>
      <w:r>
        <w:rPr>
          <w:rFonts w:ascii="Arial" w:hAnsi="Arial" w:cs="Arial"/>
          <w:b/>
          <w:bCs/>
          <w:sz w:val="20"/>
          <w:szCs w:val="20"/>
        </w:rPr>
        <w:t xml:space="preserve">Context</w:t>
      </w:r>
    </w:p>
    <w:p>
      <w:pPr>
        <w:spacing w:before="0" w:after="140" w:line="264" w:lineRule="auto"/>
        <w:jc w:val="both"/>
      </w:pPr>
      <w:r>
        <w:rPr>
          <w:rFonts w:ascii="Arial" w:hAnsi="Arial" w:cs="Arial"/>
          <w:sz w:val="20"/>
          <w:szCs w:val="20"/>
        </w:rPr>
        <w:t xml:space="preserve">The draft memorandum implements the policy direction of Republic Act No. 12076, the Ligtas Pinoy Centers Act, by establishing a multi-agency Inspectorate Team for LPC projects nationwide. The attached Version 2 draft identifies the Office of Civil Defense (OCD) as lead for inspection and validation phases, the Department of Public Works and Highways (DPWH) as the primary agency for construction supervision, quality assurance, materials testing, and infrastructure oversight, and beneficiary LGUs as key partners for site access, local documentation, post-turnover operation, maintenance, and proper use of LPC facilities.</w:t>
      </w:r>
    </w:p>
    <w:p>
      <w:pPr>
        <w:spacing w:before="0" w:after="140" w:line="264" w:lineRule="auto"/>
        <w:jc w:val="both"/>
      </w:pPr>
      <w:r>
        <w:rPr>
          <w:rFonts w:ascii="Arial" w:hAnsi="Arial" w:cs="Arial"/>
          <w:sz w:val="20"/>
          <w:szCs w:val="20"/>
        </w:rPr>
        <w:t xml:space="preserve">ULAP recognizes the importance of these roles. LPCs are intended to become critical local resilience infrastructure. Their success will depend not only on construction quality, but also on realistic operating arrangements, timely turnover, lifecycle maintenance, and clear national-local coordination.</w:t>
      </w:r>
    </w:p>
    <w:p>
      <w:pPr>
        <w:keepNext/>
        <w:spacing w:before="220" w:after="100" w:line="264" w:lineRule="auto"/>
        <w:jc w:val="left"/>
      </w:pPr>
      <w:r>
        <w:rPr>
          <w:rFonts w:ascii="Arial" w:hAnsi="Arial" w:cs="Arial"/>
          <w:b/>
          <w:bCs/>
          <w:sz w:val="20"/>
          <w:szCs w:val="20"/>
        </w:rPr>
        <w:t xml:space="preserve">Principal Comments and Recommendations</w:t>
      </w:r>
    </w:p>
    <w:p>
      <w:pPr>
        <w:keepNext/>
        <w:spacing w:before="180" w:after="90" w:line="264" w:lineRule="auto"/>
        <w:jc w:val="both"/>
      </w:pPr>
      <w:r>
        <w:rPr>
          <w:rFonts w:ascii="Arial" w:hAnsi="Arial" w:cs="Arial"/>
          <w:b/>
          <w:bCs/>
          <w:sz w:val="20"/>
          <w:szCs w:val="20"/>
        </w:rPr>
        <w:t xml:space="preserve">1. Preserve statutory and technical mandates by clearly defining the Inspectorate Team as a coordination and validation mechanism.</w:t>
      </w:r>
    </w:p>
    <w:p>
      <w:pPr>
        <w:spacing w:before="0" w:after="140" w:line="264" w:lineRule="auto"/>
        <w:jc w:val="both"/>
      </w:pPr>
      <w:r>
        <w:rPr>
          <w:rFonts w:ascii="Arial" w:hAnsi="Arial" w:cs="Arial"/>
          <w:sz w:val="20"/>
          <w:szCs w:val="20"/>
        </w:rPr>
        <w:t xml:space="preserve">The draft should expressly state that the Inspectorate Team will not substitute for, dilute, or transfer the statutory and technical responsibilities of national agencies. DPWH should remain accountable for construction supervision, quality assurance, materials testing, contractor compliance, and infrastructure oversight. OCD/NDRRMC should lead disaster-risk oversight and coordination. DILG should support governance coordination with LGUs. Beneficiary LGUs should support site access, local coordination, documentation, and post-turnover management within their legal authority and actual technical capacity.</w:t>
      </w:r>
    </w:p>
    <w:p>
      <w:pPr>
        <w:keepNext/>
        <w:spacing w:before="180" w:after="90" w:line="264" w:lineRule="auto"/>
        <w:jc w:val="both"/>
      </w:pPr>
      <w:r>
        <w:rPr>
          <w:rFonts w:ascii="Arial" w:hAnsi="Arial" w:cs="Arial"/>
          <w:b/>
          <w:bCs/>
          <w:sz w:val="20"/>
          <w:szCs w:val="20"/>
        </w:rPr>
        <w:t xml:space="preserve">2. Avoid unfunded local mandates.</w:t>
      </w:r>
    </w:p>
    <w:p>
      <w:pPr>
        <w:spacing w:before="0" w:after="140" w:line="264" w:lineRule="auto"/>
        <w:jc w:val="both"/>
      </w:pPr>
      <w:r>
        <w:rPr>
          <w:rFonts w:ascii="Arial" w:hAnsi="Arial" w:cs="Arial"/>
          <w:sz w:val="20"/>
          <w:szCs w:val="20"/>
        </w:rPr>
        <w:t xml:space="preserve">The funding provision should identify which inspection, validation, travel, reporting, specialized testing, post-disaster assessment, corrective-work, and post-turnover support costs will be borne by national agencies and which, if any, may be charged to LGUs. ULAP recommends an explicit safeguard that national inspection and validation requirements should not impose new local expenditures without appropriations, technical assistance, or another clearly identified support mechanism.</w:t>
      </w:r>
    </w:p>
    <w:p>
      <w:pPr>
        <w:keepNext/>
        <w:spacing w:before="180" w:after="90" w:line="264" w:lineRule="auto"/>
        <w:jc w:val="both"/>
      </w:pPr>
      <w:r>
        <w:rPr>
          <w:rFonts w:ascii="Arial" w:hAnsi="Arial" w:cs="Arial"/>
          <w:b/>
          <w:bCs/>
          <w:sz w:val="20"/>
          <w:szCs w:val="20"/>
        </w:rPr>
        <w:t xml:space="preserve">3. Calibrate LGU participation by phase and capacity.</w:t>
      </w:r>
    </w:p>
    <w:p>
      <w:pPr>
        <w:spacing w:before="0" w:after="140" w:line="264" w:lineRule="auto"/>
        <w:jc w:val="both"/>
      </w:pPr>
      <w:r>
        <w:rPr>
          <w:rFonts w:ascii="Arial" w:hAnsi="Arial" w:cs="Arial"/>
          <w:sz w:val="20"/>
          <w:szCs w:val="20"/>
        </w:rPr>
        <w:t xml:space="preserve">The memorandum should distinguish between LGU facilitation roles and technical certification roles. Beneficiary LGUs can provide local documents, access, coordination, disaster-risk information, and facility management inputs. LGUs should not, however, be expected to certify engineering compliance, geohazard safety, structural integrity, or specialized technical findings beyond their available personnel and competence. For low-capacity LGUs, the guidelines should require proactive national technical assistance and simplified templates.</w:t>
      </w:r>
    </w:p>
    <w:p>
      <w:pPr>
        <w:keepNext/>
        <w:spacing w:before="180" w:after="90" w:line="264" w:lineRule="auto"/>
        <w:jc w:val="both"/>
      </w:pPr>
      <w:r>
        <w:rPr>
          <w:rFonts w:ascii="Arial" w:hAnsi="Arial" w:cs="Arial"/>
          <w:b/>
          <w:bCs/>
          <w:sz w:val="20"/>
          <w:szCs w:val="20"/>
        </w:rPr>
        <w:t xml:space="preserve">4. Harmonize reporting and data sharing.</w:t>
      </w:r>
    </w:p>
    <w:p>
      <w:pPr>
        <w:spacing w:before="0" w:after="140" w:line="264" w:lineRule="auto"/>
        <w:jc w:val="both"/>
      </w:pPr>
      <w:r>
        <w:rPr>
          <w:rFonts w:ascii="Arial" w:hAnsi="Arial" w:cs="Arial"/>
          <w:sz w:val="20"/>
          <w:szCs w:val="20"/>
        </w:rPr>
        <w:t xml:space="preserve">The draft contemplates Site Validation Reports, DPWH monthly accomplishment and compliance reports, OCD monitoring or validation reports, Turnover Inspection Reports, and Post-Turnover Inspection Reports. ULAP recommends common templates, timelines, report owners, minimum data fields, and distribution rules. Reports should be promptly shared with the beneficiary LGU and concerned provincial government, and should clearly state required corrective actions, responsible office, funding source, and target completion date.</w:t>
      </w:r>
    </w:p>
    <w:p>
      <w:pPr>
        <w:keepNext/>
        <w:spacing w:before="180" w:after="90" w:line="264" w:lineRule="auto"/>
        <w:jc w:val="both"/>
      </w:pPr>
      <w:r>
        <w:rPr>
          <w:rFonts w:ascii="Arial" w:hAnsi="Arial" w:cs="Arial"/>
          <w:b/>
          <w:bCs/>
          <w:sz w:val="20"/>
          <w:szCs w:val="20"/>
        </w:rPr>
        <w:t xml:space="preserve">5. Strengthen turnover safeguards.</w:t>
      </w:r>
    </w:p>
    <w:p>
      <w:pPr>
        <w:spacing w:before="0" w:after="140" w:line="264" w:lineRule="auto"/>
        <w:jc w:val="both"/>
      </w:pPr>
      <w:r>
        <w:rPr>
          <w:rFonts w:ascii="Arial" w:hAnsi="Arial" w:cs="Arial"/>
          <w:sz w:val="20"/>
          <w:szCs w:val="20"/>
        </w:rPr>
        <w:t xml:space="preserve">No LPC should be turned over to an LGU until punch-list items, testing and commissioning, functional validation, warranty or defects-liability documentation, as-built and asset records, operation and maintenance manuals, orientation for responsible LGU personnel, and initial maintenance or operational support arrangements have been completed. The draft should also provide a procedure for LGUs to formally record objections or reservations when facilities are not yet ready for acceptance.</w:t>
      </w:r>
    </w:p>
    <w:p>
      <w:pPr>
        <w:keepNext/>
        <w:spacing w:before="180" w:after="90" w:line="264" w:lineRule="auto"/>
        <w:jc w:val="both"/>
      </w:pPr>
      <w:r>
        <w:rPr>
          <w:rFonts w:ascii="Arial" w:hAnsi="Arial" w:cs="Arial"/>
          <w:b/>
          <w:bCs/>
          <w:sz w:val="20"/>
          <w:szCs w:val="20"/>
        </w:rPr>
        <w:t xml:space="preserve">6. Make post-turnover inspections risk-based and support-backed.</w:t>
      </w:r>
    </w:p>
    <w:p>
      <w:pPr>
        <w:spacing w:before="0" w:after="140" w:line="264" w:lineRule="auto"/>
        <w:jc w:val="both"/>
      </w:pPr>
      <w:r>
        <w:rPr>
          <w:rFonts w:ascii="Arial" w:hAnsi="Arial" w:cs="Arial"/>
          <w:sz w:val="20"/>
          <w:szCs w:val="20"/>
        </w:rPr>
        <w:t xml:space="preserve">ULAP supports regular post-turnover inspections, including annual inspections for newer LPCs and more frequent inspections for older facilities. The guidelines should also require event-triggered inspections after earthquakes, typhoons, floods, fire incidents, major structural concerns, or other hazards. These inspections should not be treated as compliance monitoring alone; they should activate technical support, maintenance guidance, and corrective-action pathways.</w:t>
      </w:r>
    </w:p>
    <w:p>
      <w:pPr>
        <w:keepNext/>
        <w:spacing w:before="180" w:after="90" w:line="264" w:lineRule="auto"/>
        <w:jc w:val="both"/>
      </w:pPr>
      <w:r>
        <w:rPr>
          <w:rFonts w:ascii="Arial" w:hAnsi="Arial" w:cs="Arial"/>
          <w:b/>
          <w:bCs/>
          <w:sz w:val="20"/>
          <w:szCs w:val="20"/>
        </w:rPr>
        <w:t xml:space="preserve">7. Add an escalation and dispute-resolution mechanism.</w:t>
      </w:r>
    </w:p>
    <w:p>
      <w:pPr>
        <w:spacing w:before="0" w:after="140" w:line="264" w:lineRule="auto"/>
        <w:jc w:val="both"/>
      </w:pPr>
      <w:r>
        <w:rPr>
          <w:rFonts w:ascii="Arial" w:hAnsi="Arial" w:cs="Arial"/>
          <w:sz w:val="20"/>
          <w:szCs w:val="20"/>
        </w:rPr>
        <w:t xml:space="preserve">The draft should provide a clear escalation route when findings differ among agencies, when a beneficiary LGU contests turnover because of unresolved defects, when responsibilities for corrective works are disputed, or when urgent repairs are needed after a hazard event. A short escalation protocol will reduce implementation delays and avoid placing LGUs in uncertain liability positions.</w:t>
      </w:r>
    </w:p>
    <w:p>
      <w:pPr>
        <w:keepNext/>
        <w:spacing w:before="180" w:after="90" w:line="264" w:lineRule="auto"/>
        <w:jc w:val="both"/>
      </w:pPr>
      <w:r>
        <w:rPr>
          <w:rFonts w:ascii="Arial" w:hAnsi="Arial" w:cs="Arial"/>
          <w:b/>
          <w:bCs/>
          <w:sz w:val="20"/>
          <w:szCs w:val="20"/>
        </w:rPr>
        <w:t xml:space="preserve">8. Protect data governance and responsible disclosure.</w:t>
      </w:r>
    </w:p>
    <w:p>
      <w:pPr>
        <w:spacing w:before="0" w:after="140" w:line="264" w:lineRule="auto"/>
        <w:jc w:val="both"/>
      </w:pPr>
      <w:r>
        <w:rPr>
          <w:rFonts w:ascii="Arial" w:hAnsi="Arial" w:cs="Arial"/>
          <w:sz w:val="20"/>
          <w:szCs w:val="20"/>
        </w:rPr>
        <w:t xml:space="preserve">The memorandum requires geo-tagging, photo documentation, reports, and technical records. ULAP recommends adding rules on data custodianship, secure access, privacy, public disclosure, and use of site-specific vulnerability information. Sensitive site, structural, and disaster-risk data should be available to responsible agencies and LGUs while being protected from misuse.</w:t>
      </w:r>
    </w:p>
    <w:p>
      <w:pPr>
        <w:keepNext/>
        <w:spacing w:before="180" w:after="90" w:line="264" w:lineRule="auto"/>
        <w:jc w:val="both"/>
      </w:pPr>
      <w:r>
        <w:rPr>
          <w:rFonts w:ascii="Arial" w:hAnsi="Arial" w:cs="Arial"/>
          <w:b/>
          <w:bCs/>
          <w:sz w:val="20"/>
          <w:szCs w:val="20"/>
        </w:rPr>
        <w:t xml:space="preserve">9. Institutionalize local league consultation during implementation.</w:t>
      </w:r>
    </w:p>
    <w:p>
      <w:pPr>
        <w:spacing w:before="0" w:after="140" w:line="264" w:lineRule="auto"/>
        <w:jc w:val="both"/>
      </w:pPr>
      <w:r>
        <w:rPr>
          <w:rFonts w:ascii="Arial" w:hAnsi="Arial" w:cs="Arial"/>
          <w:sz w:val="20"/>
          <w:szCs w:val="20"/>
        </w:rPr>
        <w:t xml:space="preserve">ULAP recommends that OCD and partner national agencies continue consulting ULAP and the local government leagues on final templates, inspection forms, reporting protocols, and post-turnover guidance. This will help ensure that the guidelines work across provinces, cities, municipalities, and barangay-facing operational realities.</w:t>
      </w:r>
    </w:p>
    <w:p>
      <w:pPr>
        <w:keepNext/>
        <w:spacing w:before="220" w:after="100" w:line="264" w:lineRule="auto"/>
        <w:jc w:val="left"/>
      </w:pPr>
      <w:r>
        <w:rPr>
          <w:rFonts w:ascii="Arial" w:hAnsi="Arial" w:cs="Arial"/>
          <w:b/>
          <w:bCs/>
          <w:sz w:val="20"/>
          <w:szCs w:val="20"/>
        </w:rPr>
        <w:t xml:space="preserve">Specific Text and Implementation Safeguards for OCD Consideration</w:t>
      </w:r>
    </w:p>
    <w:p>
      <w:pPr>
        <w:spacing w:before="0" w:after="140" w:line="264" w:lineRule="auto"/>
        <w:jc w:val="both"/>
      </w:pPr>
      <w:r>
        <w:rPr>
          <w:rFonts w:ascii="Arial" w:hAnsi="Arial" w:cs="Arial"/>
          <w:sz w:val="20"/>
          <w:szCs w:val="20"/>
        </w:rPr>
        <w:t xml:space="preserve">- Insert a roles clause stating that Inspectorate Team participation does not transfer DPWH construction supervision and quality assurance responsibilities, nor impose engineering certification duties on beneficiary LGUs.</w:t>
      </w:r>
    </w:p>
    <w:p>
      <w:pPr>
        <w:spacing w:before="0" w:after="140" w:line="264" w:lineRule="auto"/>
        <w:jc w:val="both"/>
      </w:pPr>
      <w:r>
        <w:rPr>
          <w:rFonts w:ascii="Arial" w:hAnsi="Arial" w:cs="Arial"/>
          <w:sz w:val="20"/>
          <w:szCs w:val="20"/>
        </w:rPr>
        <w:t xml:space="preserve">- Revise the funding section to identify cost-bearing agencies and prohibit unfunded local compliance requirements for inspection, specialized testing, post-disaster validation, and nationally required reporting.</w:t>
      </w:r>
    </w:p>
    <w:p>
      <w:pPr>
        <w:spacing w:before="0" w:after="140" w:line="264" w:lineRule="auto"/>
        <w:jc w:val="both"/>
      </w:pPr>
      <w:r>
        <w:rPr>
          <w:rFonts w:ascii="Arial" w:hAnsi="Arial" w:cs="Arial"/>
          <w:sz w:val="20"/>
          <w:szCs w:val="20"/>
        </w:rPr>
        <w:t xml:space="preserve">- Require all inspection and validation reports to be transmitted to the beneficiary LGU, concerned provincial government, DPWH, DILG, DHSUD, and OCD within a fixed period after each activity.</w:t>
      </w:r>
    </w:p>
    <w:p>
      <w:pPr>
        <w:spacing w:before="0" w:after="140" w:line="264" w:lineRule="auto"/>
        <w:jc w:val="both"/>
      </w:pPr>
      <w:r>
        <w:rPr>
          <w:rFonts w:ascii="Arial" w:hAnsi="Arial" w:cs="Arial"/>
          <w:sz w:val="20"/>
          <w:szCs w:val="20"/>
        </w:rPr>
        <w:t xml:space="preserve">- Add a turnover readiness checklist covering punch-list completion, testing and commissioning, as-built documents, warranty and defects-liability records, operation and maintenance manuals, LGU orientation, and initial support arrangements.</w:t>
      </w:r>
    </w:p>
    <w:p>
      <w:pPr>
        <w:spacing w:before="0" w:after="140" w:line="264" w:lineRule="auto"/>
        <w:jc w:val="both"/>
      </w:pPr>
      <w:r>
        <w:rPr>
          <w:rFonts w:ascii="Arial" w:hAnsi="Arial" w:cs="Arial"/>
          <w:sz w:val="20"/>
          <w:szCs w:val="20"/>
        </w:rPr>
        <w:t xml:space="preserve">- Provide simplified forms and technical assistance pathways for LGUs with limited engineering, planning, or disaster-risk management personnel.</w:t>
      </w:r>
    </w:p>
    <w:p>
      <w:pPr>
        <w:spacing w:before="0" w:after="140" w:line="264" w:lineRule="auto"/>
        <w:jc w:val="both"/>
      </w:pPr>
      <w:r>
        <w:rPr>
          <w:rFonts w:ascii="Arial" w:hAnsi="Arial" w:cs="Arial"/>
          <w:sz w:val="20"/>
          <w:szCs w:val="20"/>
        </w:rPr>
        <w:t xml:space="preserve">- Add an escalation process for contested findings, delayed corrective works, contested turnover, or urgent post-disaster repair needs.</w:t>
      </w:r>
    </w:p>
    <w:p>
      <w:pPr>
        <w:keepNext/>
        <w:spacing w:before="220" w:after="100" w:line="264" w:lineRule="auto"/>
        <w:jc w:val="left"/>
      </w:pPr>
      <w:r>
        <w:rPr>
          <w:rFonts w:ascii="Arial" w:hAnsi="Arial" w:cs="Arial"/>
          <w:b/>
          <w:bCs/>
          <w:sz w:val="20"/>
          <w:szCs w:val="20"/>
        </w:rPr>
        <w:t xml:space="preserve">Suggested ULAP Position</w:t>
      </w:r>
    </w:p>
    <w:p>
      <w:pPr>
        <w:spacing w:before="0" w:after="140" w:line="264" w:lineRule="auto"/>
        <w:jc w:val="both"/>
      </w:pPr>
      <w:r>
        <w:rPr>
          <w:rFonts w:ascii="Arial" w:hAnsi="Arial" w:cs="Arial"/>
          <w:sz w:val="20"/>
          <w:szCs w:val="20"/>
        </w:rPr>
        <w:t xml:space="preserve">ULAP supports the issuance of the draft memorandum, subject to revisions that clearly delineate national and local responsibilities, protect LGUs from unfunded mandates, harmonize reporting, strengthen turnover safeguards, and ensure post-turnover technical and financial support. With these refinements, the Inspectorate Team framework can become a practical tool for delivering safe, accountable, and locally usable Ligtas Pinoy Centers.</w:t>
      </w:r>
    </w:p>
    <w:p>
      <w:pPr>
        <w:keepNext/>
        <w:spacing w:before="220" w:after="100" w:line="264" w:lineRule="auto"/>
        <w:jc w:val="left"/>
      </w:pPr>
      <w:r>
        <w:rPr>
          <w:rFonts w:ascii="Arial" w:hAnsi="Arial" w:cs="Arial"/>
          <w:b/>
          <w:bCs/>
          <w:sz w:val="20"/>
          <w:szCs w:val="20"/>
        </w:rPr>
        <w:t xml:space="preserve">Sources Reviewed</w:t>
      </w:r>
    </w:p>
    <w:p>
      <w:pPr>
        <w:spacing w:before="0" w:after="140" w:line="264" w:lineRule="auto"/>
        <w:jc w:val="both"/>
      </w:pPr>
      <w:r>
        <w:rPr>
          <w:rFonts w:ascii="Arial" w:hAnsi="Arial" w:cs="Arial"/>
          <w:sz w:val="20"/>
          <w:szCs w:val="20"/>
        </w:rPr>
        <w:t xml:space="preserve">- Forwarded request for comments from the Office of Civil Defense - Project Management Office, Ligtas Pinoy Act, through the ULAP Secretariat, received 2 June 2026; follow-up received 4 June 2026 extended the comments deadline to 8 June 2026.</w:t>
      </w:r>
    </w:p>
    <w:p>
      <w:pPr>
        <w:spacing w:before="0" w:after="140" w:line="264" w:lineRule="auto"/>
        <w:jc w:val="both"/>
      </w:pPr>
      <w:r>
        <w:rPr>
          <w:rFonts w:ascii="Arial" w:hAnsi="Arial" w:cs="Arial"/>
          <w:sz w:val="20"/>
          <w:szCs w:val="20"/>
        </w:rPr>
        <w:t xml:space="preserve">- Attached Version 2 draft memorandum titled "Guidelines on the Organization, Functions, and Operationalization of the Inspectorate Team for Ligtas Pinoy Centers (LPCs)."</w:t>
      </w:r>
    </w:p>
    <w:p>
      <w:pPr>
        <w:spacing w:before="0" w:after="140" w:line="264" w:lineRule="auto"/>
        <w:jc w:val="both"/>
      </w:pPr>
      <w:r>
        <w:rPr>
          <w:rFonts w:ascii="Arial" w:hAnsi="Arial" w:cs="Arial"/>
          <w:sz w:val="20"/>
          <w:szCs w:val="20"/>
        </w:rPr>
        <w:t xml:space="preserve">- Prior ULAP/NDRRMC-OCD engagement materials located in Google Drive reflecting ULAP participation in Ligtas Pinoy Centers IRR-related work; no directly related prior ULAP position paper on the LPC Inspectorate Team was located during this intake review.</w:t>
      </w:r>
    </w:p>
    <w:p>
      <w:pPr>
        <w:spacing w:before="160" w:after="160" w:line="264" w:lineRule="auto"/>
        <w:jc w:val="center"/>
      </w:pPr>
      <w:r>
        <w:rPr>
          <w:rFonts w:ascii="Arial" w:hAnsi="Arial" w:cs="Arial"/>
          <w:b/>
          <w:bCs/>
          <w:i/>
          <w:iCs/>
          <w:sz w:val="22"/>
          <w:szCs w:val="22"/>
        </w:rPr>
        <w:t xml:space="preserve"> </w:t>
      </w:r>
      <w:r>
        <w:rPr>
          <w:rFonts w:ascii="Arial" w:hAnsi="Arial" w:cs="Arial"/>
          <w:b/>
          <w:bCs/>
          <w:sz w:val="22"/>
          <w:szCs w:val="22"/>
        </w:rPr>
        <w:t xml:space="preserve"> *</w:t>
      </w:r>
    </w:p>
    <w:p>
      <w:pPr>
        <w:spacing w:before="0" w:after="140" w:line="264" w:lineRule="auto"/>
        <w:jc w:val="both"/>
      </w:pPr>
      <w:r>
        <w:rPr>
          <w:rFonts w:ascii="Arial" w:hAnsi="Arial" w:cs="Arial"/>
          <w:sz w:val="20"/>
          <w:szCs w:val="20"/>
        </w:rPr>
        <w:t xml:space="preserve">ULAP respectfully submits these comments in support of a clear, funded, and implementation-ready Inspectorate Team framework that advances public safety while preserving local autonomy, clarifying intergovernmental accountability, and ensuring that beneficiary LGUs can sustainably operate and maintain Ligtas Pinoy Centers for the communities they serve.</w:t>
      </w:r>
    </w:p>
    <w:sectPr>
      <w:headerReference r:id="rId6" w:type="first"/>
      <w:footerReference r:id="rId7" w:type="first"/>
      <w:headerReference r:id="rId8" w:type="default"/>
      <w:footerReference r:id="rId9" w:type="default"/>
      <w:pgSz w:h="16838" w:w="11906" w:orient="portrait"/>
      <w:pgMar w:bottom="2160" w:top="1440" w:left="1440" w:right="1440" w:header="720" w:footer="576"/>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-962024</wp:posOffset>
          </wp:positionH>
          <wp:positionV relativeFrom="paragraph">
            <wp:posOffset>205787</wp:posOffset>
          </wp:positionV>
          <wp:extent cx="7762875" cy="933877"/>
          <wp:effectExtent b="0" l="0" r="0" t="0"/>
          <wp:wrapNone/>
          <wp:docPr id="2" name="image1.png"/>
          <a:graphic>
            <a:graphicData uri="http://schemas.openxmlformats.org/drawingml/2006/picture">
              <pic:pic>
                <pic:nvPicPr>
                  <pic:cNvPr id="0" name="image1.png"/>
                  <pic:cNvPicPr preferRelativeResize="0"/>
                </pic:nvPicPr>
                <pic:blipFill>
                  <a:blip r:embed="rId1"/>
                  <a:srcRect b="0" l="0" r="0" t="63954"/>
                  <a:stretch>
                    <a:fillRect/>
                  </a:stretch>
                </pic:blipFill>
                <pic:spPr>
                  <a:xfrm>
                    <a:off x="0" y="0"/>
                    <a:ext cx="7762875" cy="933877"/>
                  </a:xfrm>
                  <a:prstGeom prst="rect"/>
                  <a:ln/>
                </pic:spPr>
              </pic:pic>
            </a:graphicData>
          </a:graphic>
        </wp:anchor>
      </w:drawing>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ftr>
</file>

<file path=word/footer2.xml><?xml version="1.0" encoding="utf-8"?>
<w:ftr xmlns:w="http://schemas.openxmlformats.org/wordprocessingml/2006/main">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2">
    <w:pPr>
      <w:tabs>
        <w:tab w:val="center" w:leader="none" w:pos="4680"/>
        <w:tab w:val="right" w:leader="none" w:pos="9360"/>
        <w:tab w:val="right" w:leader="none" w:pos="10184"/>
      </w:tabs>
      <w:spacing w:line="240" w:lineRule="auto"/>
      <w:jc w:val="center"/>
      <w:rPr>
        <w:sz w:val="7"/>
        <w:szCs w:val="7"/>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-1105632</wp:posOffset>
              </wp:positionH>
              <wp:positionV relativeFrom="paragraph">
                <wp:posOffset>-457199</wp:posOffset>
              </wp:positionV>
              <wp:extent cx="8249383" cy="1671638"/>
              <wp:effectExtent b="0" l="0" r="0" t="0"/>
              <wp:wrapSquare wrapText="bothSides" distB="0" distT="0" distL="114300" distR="114300"/>
              <wp:docPr id="1" name=""/>
              <a:graphic>
                <a:graphicData uri="http://schemas.microsoft.com/office/word/2010/wordprocessingGroup">
                  <wpg:wgp>
                    <wpg:cNvGrpSpPr/>
                    <wpg:grpSpPr>
                      <a:xfrm>
                        <a:off x="1414075" y="2974800"/>
                        <a:ext cx="8249383" cy="1671638"/>
                        <a:chOff x="1414075" y="2974800"/>
                        <a:chExt cx="7863850" cy="1610400"/>
                      </a:xfrm>
                    </wpg:grpSpPr>
                    <wpg:grpSp>
                      <wpg:cNvGrpSpPr/>
                      <wpg:grpSpPr>
                        <a:xfrm>
                          <a:off x="1414080" y="2974820"/>
                          <a:ext cx="7863840" cy="1610360"/>
                          <a:chOff x="1414075" y="2974800"/>
                          <a:chExt cx="7863850" cy="1610400"/>
                        </a:xfrm>
                      </wpg:grpSpPr>
                      <wps:wsp>
                        <wps:cNvSpPr/>
                        <wps:cNvPr id="3" name="Shape 3"/>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5" name="Shape 5"/>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7" name="Shape 7"/>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9" name="Shape 9"/>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0" y="0"/>
                                  <a:chExt cx="7863840" cy="1610360"/>
                                </a:xfrm>
                              </wpg:grpSpPr>
                              <wps:wsp>
                                <wps:cNvSpPr/>
                                <wps:cNvPr id="11" name="Shape 11"/>
                                <wps:spPr>
                                  <a:xfrm>
                                    <a:off x="0" y="0"/>
                                    <a:ext cx="7863825" cy="1610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 picture containing icon  Description automatically generated" id="12" name="Shape 12"/>
                                  <pic:cNvPicPr preferRelativeResize="0"/>
                                </pic:nvPicPr>
                                <pic:blipFill rotWithShape="1">
                                  <a:blip r:embed="rId1">
                                    <a:alphaModFix amt="50000"/>
                                  </a:blip>
                                  <a:srcRect b="0" l="0" r="0" t="0"/>
                                  <a:stretch/>
                                </pic:blipFill>
                                <pic:spPr>
                                  <a:xfrm flipH="1">
                                    <a:off x="95250" y="228600"/>
                                    <a:ext cx="7767955" cy="1247775"/>
                                  </a:xfrm>
                                  <a:prstGeom prst="rect">
                                    <a:avLst/>
                                  </a:prstGeom>
                                  <a:noFill/>
                                  <a:ln>
                                    <a:noFill/>
                                  </a:ln>
                                </pic:spPr>
                              </pic:pic>
                              <pic:pic>
                                <pic:nvPicPr>
                                  <pic:cNvPr descr="A picture containing icon  Description automatically generated" id="13" name="Shape 13"/>
                                  <pic:cNvPicPr preferRelativeResize="0"/>
                                </pic:nvPicPr>
                                <pic:blipFill rotWithShape="1">
                                  <a:blip r:embed="rId1">
                                    <a:alphaModFix amt="50000"/>
                                  </a:blip>
                                  <a:srcRect b="0" l="0" r="39356" t="0"/>
                                  <a:stretch/>
                                </pic:blipFill>
                                <pic:spPr>
                                  <a:xfrm>
                                    <a:off x="95250" y="222250"/>
                                    <a:ext cx="4705350" cy="1247775"/>
                                  </a:xfrm>
                                  <a:prstGeom prst="rect">
                                    <a:avLst/>
                                  </a:prstGeom>
                                  <a:noFill/>
                                  <a:ln>
                                    <a:noFill/>
                                  </a:ln>
                                </pic:spPr>
                              </pic:pic>
                              <pic:pic>
                                <pic:nvPicPr>
                                  <pic:cNvPr id="14" name="Shape 14"/>
                                  <pic:cNvPicPr preferRelativeResize="0"/>
                                </pic:nvPicPr>
                                <pic:blipFill rotWithShape="1">
                                  <a:blip r:embed="rId2">
                                    <a:alphaModFix/>
                                  </a:blip>
                                  <a:srcRect b="29036" l="0" r="0" t="2914"/>
                                  <a:stretch/>
                                </pic:blipFill>
                                <pic:spPr>
                                  <a:xfrm>
                                    <a:off x="990600" y="590550"/>
                                    <a:ext cx="5943600" cy="1019810"/>
                                  </a:xfrm>
                                  <a:prstGeom prst="rect">
                                    <a:avLst/>
                                  </a:prstGeom>
                                  <a:noFill/>
                                  <a:ln>
                                    <a:noFill/>
                                  </a:ln>
                                </pic:spPr>
                              </pic:pic>
                              <pic:pic>
                                <pic:nvPicPr>
                                  <pic:cNvPr descr="Background pattern  Description automatically generated" id="15" name="Shape 15"/>
                                  <pic:cNvPicPr preferRelativeResize="0"/>
                                </pic:nvPicPr>
                                <pic:blipFill rotWithShape="1">
                                  <a:blip r:embed="rId3">
                                    <a:alphaModFix/>
                                  </a:blip>
                                  <a:srcRect b="0" l="0" r="0" t="0"/>
                                  <a:stretch/>
                                </pic:blipFill>
                                <pic:spPr>
                                  <a:xfrm>
                                    <a:off x="0" y="0"/>
                                    <a:ext cx="7863840" cy="396875"/>
                                  </a:xfrm>
                                  <a:prstGeom prst="rect">
                                    <a:avLst/>
                                  </a:prstGeom>
                                  <a:noFill/>
                                  <a:ln>
                                    <a:noFill/>
                                  </a:ln>
                                </pic:spPr>
                              </pic:pic>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-1105632</wp:posOffset>
              </wp:positionH>
              <wp:positionV relativeFrom="paragraph">
                <wp:posOffset>-457199</wp:posOffset>
              </wp:positionV>
              <wp:extent cx="8249383" cy="1671638"/>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4"/>
                      <a:srcRect/>
                      <a:stretch>
                        <a:fillRect/>
                      </a:stretch>
                    </pic:blipFill>
                    <pic:spPr>
                      <a:xfrm>
                        <a:off x="0" y="0"/>
                        <a:ext cx="8249383" cy="1671638"/>
                      </a:xfrm>
                      <a:prstGeom prst="rect"/>
                      <a:ln/>
                    </pic:spPr>
                  </pic:pic>
                </a:graphicData>
              </a:graphic>
            </wp:anchor>
          </w:drawing>
        </mc:Fallback>
      </mc:AlternateContent>
    </w:r>
  </w:p>
  <w:p w:rsidR="00000000" w:rsidDel="00000000" w:rsidP="00000000" w:rsidRDefault="00000000" w:rsidRPr="00000000" w14:paraId="00000003">
    <w:pPr>
      <w:tabs>
        <w:tab w:val="center" w:leader="none" w:pos="4680"/>
        <w:tab w:val="right" w:leader="none" w:pos="9360"/>
        <w:tab w:val="right" w:leader="none" w:pos="10184"/>
      </w:tabs>
      <w:spacing w:line="240" w:lineRule="auto"/>
      <w:jc w:val="center"/>
      <w:rPr>
        <w:sz w:val="16"/>
        <w:szCs w:val="16"/>
      </w:rPr>
    </w:pPr>
    <w:r w:rsidDel="00000000" w:rsidR="00000000" w:rsidRPr="00000000">
      <w:rPr>
        <w:sz w:val="16"/>
        <w:szCs w:val="16"/>
        <w:rtl w:val="0"/>
      </w:rPr>
      <w:t xml:space="preserve">28F Unit 2803 Summit One Tower 530 Shaw Boulevard, Mandaluyong City</w:t>
    </w:r>
  </w:p>
  <w:p w:rsidR="00000000" w:rsidDel="00000000" w:rsidP="00000000" w:rsidRDefault="00000000" w:rsidRPr="00000000" w14:paraId="00000004">
    <w:pPr>
      <w:tabs>
        <w:tab w:val="center" w:leader="none" w:pos="4680"/>
        <w:tab w:val="right" w:leader="none" w:pos="9360"/>
      </w:tabs>
      <w:spacing w:line="240" w:lineRule="auto"/>
      <w:jc w:val="center"/>
      <w:rPr>
        <w:sz w:val="16"/>
        <w:szCs w:val="16"/>
      </w:rPr>
    </w:pPr>
    <w:r w:rsidDel="00000000" w:rsidR="00000000" w:rsidRPr="00000000">
      <w:rPr>
        <w:b w:val="1"/>
        <w:bCs w:val="1"/>
        <w:sz w:val="16"/>
        <w:szCs w:val="16"/>
        <w:rtl w:val="0"/>
      </w:rPr>
      <w:t xml:space="preserve">Phone: </w:t>
    </w:r>
    <w:r w:rsidDel="00000000" w:rsidR="00000000" w:rsidRPr="00000000">
      <w:rPr>
        <w:sz w:val="16"/>
        <w:szCs w:val="16"/>
        <w:rtl w:val="0"/>
      </w:rPr>
      <w:t xml:space="preserve">(+63) 9189856659 </w:t>
    </w:r>
    <w:r w:rsidDel="00000000" w:rsidR="00000000" w:rsidRPr="00000000">
      <w:rPr>
        <w:b w:val="1"/>
        <w:bCs w:val="1"/>
        <w:sz w:val="16"/>
        <w:szCs w:val="16"/>
        <w:rtl w:val="0"/>
      </w:rPr>
      <w:t xml:space="preserve">E-Mail:</w:t>
    </w:r>
    <w:r w:rsidDel="00000000" w:rsidR="00000000" w:rsidRPr="00000000">
      <w:rPr>
        <w:sz w:val="16"/>
        <w:szCs w:val="16"/>
        <w:rtl w:val="0"/>
      </w:rPr>
      <w:t xml:space="preserve"> </w:t>
    </w:r>
    <w:hyperlink r:id="rId5">
      <w:r w:rsidDel="00000000" w:rsidR="00000000" w:rsidRPr="00000000">
        <w:rPr>
          <w:color w:val="0563c1"/>
          <w:sz w:val="16"/>
          <w:szCs w:val="16"/>
          <w:u w:val="single"/>
          <w:rtl w:val="0"/>
        </w:rPr>
        <w:t xml:space="preserve">ulapnatsec@gmail.com</w:t>
      </w:r>
    </w:hyperlink>
    <w:r w:rsidDel="00000000" w:rsidR="00000000" w:rsidRPr="00000000">
      <w:rPr>
        <w:sz w:val="16"/>
        <w:szCs w:val="16"/>
        <w:rtl w:val="0"/>
      </w:rPr>
      <w:t xml:space="preserve">, </w:t>
    </w:r>
    <w:hyperlink r:id="rId6">
      <w:r w:rsidDel="00000000" w:rsidR="00000000" w:rsidRPr="00000000">
        <w:rPr>
          <w:color w:val="0563c1"/>
          <w:sz w:val="16"/>
          <w:szCs w:val="16"/>
          <w:u w:val="single"/>
          <w:rtl w:val="0"/>
        </w:rPr>
        <w:t xml:space="preserve">secretariat@ulap.net.ph</w:t>
      </w:r>
    </w:hyperlink>
    <w:r w:rsidDel="00000000" w:rsidR="00000000" w:rsidRPr="00000000">
      <w:rPr>
        <w:rtl w:val="0"/>
      </w:rPr>
    </w:r>
  </w:p>
  <w:p w:rsidR="00000000" w:rsidDel="00000000" w:rsidP="00000000" w:rsidRDefault="00000000" w:rsidRPr="00000000" w14:paraId="00000005">
    <w:pPr>
      <w:tabs>
        <w:tab w:val="center" w:leader="none" w:pos="4680"/>
        <w:tab w:val="right" w:leader="none" w:pos="9360"/>
      </w:tabs>
      <w:spacing w:line="240" w:lineRule="auto"/>
      <w:jc w:val="center"/>
      <w:rPr>
        <w:sz w:val="16"/>
        <w:szCs w:val="16"/>
      </w:rPr>
    </w:pPr>
    <w:r w:rsidDel="00000000" w:rsidR="00000000" w:rsidRPr="00000000">
      <w:rPr>
        <w:b w:val="1"/>
        <w:bCs w:val="1"/>
        <w:sz w:val="16"/>
        <w:szCs w:val="16"/>
        <w:rtl w:val="0"/>
      </w:rPr>
      <w:t xml:space="preserve">Website:</w:t>
    </w:r>
    <w:r w:rsidDel="00000000" w:rsidR="00000000" w:rsidRPr="00000000">
      <w:rPr>
        <w:sz w:val="16"/>
        <w:szCs w:val="16"/>
        <w:rtl w:val="0"/>
      </w:rPr>
      <w:t xml:space="preserve"> </w:t>
    </w:r>
    <w:hyperlink r:id="rId7">
      <w:r w:rsidDel="00000000" w:rsidR="00000000" w:rsidRPr="00000000">
        <w:rPr>
          <w:color w:val="0563c1"/>
          <w:sz w:val="16"/>
          <w:szCs w:val="16"/>
          <w:u w:val="single"/>
          <w:rtl w:val="0"/>
        </w:rPr>
        <w:t xml:space="preserve">www.ulap.net.ph</w:t>
      </w:r>
    </w:hyperlink>
    <w:r w:rsidDel="00000000" w:rsidR="00000000" w:rsidRPr="00000000">
      <w:rPr>
        <w:sz w:val="16"/>
        <w:szCs w:val="16"/>
        <w:rtl w:val="0"/>
      </w:rPr>
      <w:t xml:space="preserve"> </w:t>
    </w:r>
    <w:r w:rsidDel="00000000" w:rsidR="00000000" w:rsidRPr="00000000">
      <w:rPr>
        <w:b w:val="1"/>
        <w:bCs w:val="1"/>
        <w:sz w:val="16"/>
        <w:szCs w:val="16"/>
        <w:rtl w:val="0"/>
      </w:rPr>
      <w:t xml:space="preserve">Facebook:</w:t>
    </w:r>
    <w:r w:rsidDel="00000000" w:rsidR="00000000" w:rsidRPr="00000000">
      <w:rPr>
        <w:sz w:val="16"/>
        <w:szCs w:val="16"/>
        <w:rtl w:val="0"/>
      </w:rPr>
      <w:t xml:space="preserve"> </w:t>
    </w:r>
    <w:hyperlink r:id="rId8">
      <w:r w:rsidDel="00000000" w:rsidR="00000000" w:rsidRPr="00000000">
        <w:rPr>
          <w:color w:val="0563c1"/>
          <w:sz w:val="16"/>
          <w:szCs w:val="16"/>
          <w:u w:val="single"/>
          <w:rtl w:val="0"/>
        </w:rPr>
        <w:t xml:space="preserve">www.facebook.com/ulap.net.ph</w:t>
      </w:r>
    </w:hyperlink>
    <w:r w:rsidDel="00000000" w:rsidR="00000000" w:rsidRPr="00000000">
      <w:rPr>
        <w:sz w:val="16"/>
        <w:szCs w:val="16"/>
        <w:rtl w:val="0"/>
      </w:rPr>
      <w:t xml:space="preserve"> </w:t>
    </w:r>
  </w:p>
  <w:p w:rsidR="00000000" w:rsidDel="00000000" w:rsidP="00000000" w:rsidRDefault="00000000" w:rsidRPr="00000000" w14:paraId="00000006">
    <w:pPr>
      <w:pBdr>
        <w:bottom w:color="000000" w:space="1" w:sz="6" w:val="single"/>
      </w:pBdr>
      <w:tabs>
        <w:tab w:val="center" w:leader="none" w:pos="4680"/>
        <w:tab w:val="right" w:leader="none" w:pos="9360"/>
      </w:tabs>
      <w:spacing w:line="240" w:lineRule="auto"/>
      <w:ind w:left="-1134" w:right="-1097" w:firstLine="0"/>
      <w:rPr>
        <w:b w:val="1"/>
        <w:bCs w:val="1"/>
        <w:color w:val="002060"/>
        <w:sz w:val="15"/>
        <w:szCs w:val="15"/>
      </w:rPr>
    </w:pPr>
    <w:r w:rsidDel="00000000" w:rsidR="00000000" w:rsidRPr="00000000">
      <w:rPr>
        <w:rtl w:val="0"/>
      </w:rPr>
    </w:r>
  </w:p>
  <w:p w:rsidR="00000000" w:rsidDel="00000000" w:rsidP="00000000" w:rsidRDefault="00000000" w:rsidRPr="00000000" w14:paraId="0000000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hdr>
</file>

<file path=word/header2.xml><?xml version="1.0" encoding="utf-8"?>
<w:hdr xmlns:w="http://schemas.openxmlformats.org/wordprocessingml/2006/main">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s>
</file>

<file path=word/_rels/footer1.xml.rels><?xml version="1.0" encoding="UTF-8"?><Relationships xmlns="http://schemas.openxmlformats.org/package/2006/relationships"><Relationship Id="rId1" Type="http://schemas.openxmlformats.org/officeDocument/2006/relationships/image" Target="media/image1.png"/></Relationships>
</file>

<file path=word/_rels/header1.xml.rels><?xml version="1.0" encoding="UTF-8"?><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5.jpg"/><Relationship Id="rId4" Type="http://schemas.openxmlformats.org/officeDocument/2006/relationships/image" Target="media/image2.png"/><Relationship Id="rId5" Type="http://schemas.openxmlformats.org/officeDocument/2006/relationships/hyperlink" Target="about:blank" TargetMode="External"/><Relationship Id="rId6" Type="http://schemas.openxmlformats.org/officeDocument/2006/relationships/hyperlink" Target="about:blank" TargetMode="External"/><Relationship Id="rId7" Type="http://schemas.openxmlformats.org/officeDocument/2006/relationships/hyperlink" Target="about:blank" TargetMode="External"/><Relationship Id="rId8"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