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1980" w:lineRule="exact"/>
        <w:jc w:val="left"/>
      </w:pPr>
    </w:p>
    <w:p>
      <w:pPr>
        <w:spacing w:before="0" w:after="40" w:line="264" w:lineRule="auto"/>
        <w:jc w:val="center"/>
      </w:pPr>
      <w:r>
        <w:rPr>
          <w:rFonts w:ascii="Arial" w:hAnsi="Arial" w:cs="Arial"/>
          <w:b/>
          <w:bCs/>
          <w:sz w:val="24"/>
          <w:szCs w:val="24"/>
        </w:rPr>
        <w:t xml:space="preserve">POSITION PAPER ON HOUSE BILL NO. 5099,</w:t>
      </w:r>
    </w:p>
    <w:p>
      <w:pPr>
        <w:spacing w:before="40" w:after="200" w:line="264" w:lineRule="auto"/>
        <w:jc w:val="center"/>
      </w:pPr>
      <w:r>
        <w:rPr>
          <w:rFonts w:ascii="Arial" w:hAnsi="Arial" w:cs="Arial"/>
          <w:b/>
          <w:bCs/>
          <w:sz w:val="24"/>
          <w:szCs w:val="24"/>
        </w:rPr>
        <w:t xml:space="preserve">THE PROPOSED PUBLIC SOLICITATION ACT OF 2025</w:t>
      </w:r>
    </w:p>
    <w:p>
      <w:pPr>
        <w:keepNext/>
        <w:spacing w:before="220" w:after="100" w:line="264" w:lineRule="auto"/>
        <w:jc w:val="left"/>
      </w:pPr>
      <w:r>
        <w:rPr>
          <w:rFonts w:ascii="Arial" w:hAnsi="Arial" w:cs="Arial"/>
          <w:b/>
          <w:bCs/>
          <w:sz w:val="20"/>
          <w:szCs w:val="20"/>
        </w:rPr>
        <w:t xml:space="preserve">I. Executive Position</w:t>
      </w:r>
    </w:p>
    <w:p>
      <w:pPr>
        <w:spacing w:before="0" w:after="140" w:line="264" w:lineRule="auto"/>
        <w:jc w:val="both"/>
      </w:pPr>
      <w:r>
        <w:rPr>
          <w:rFonts w:ascii="Arial" w:hAnsi="Arial" w:cs="Arial"/>
          <w:sz w:val="20"/>
          <w:szCs w:val="20"/>
        </w:rPr>
        <w:t xml:space="preserve">The Union of Local Authorities of the Philippines (ULAP) submits this position paper to the House Committee on Social Services in response to the request for ULAP comments on House Bill No. 5099, entitled "An Act Regulating Public Solicitations and Providing Penalties for Violation Thereof, Repealing for the Purpose Act No. 4075, as Amended by Presidential Decree No. 1564, Otherwise Known as the Solicitation Permit Law."</w:t>
      </w:r>
    </w:p>
    <w:p>
      <w:pPr>
        <w:spacing w:before="0" w:after="140" w:line="264" w:lineRule="auto"/>
        <w:jc w:val="both"/>
      </w:pPr>
      <w:r>
        <w:rPr>
          <w:rFonts w:ascii="Arial" w:hAnsi="Arial" w:cs="Arial"/>
          <w:sz w:val="20"/>
          <w:szCs w:val="20"/>
        </w:rPr>
        <w:t xml:space="preserve">ULAP supports the policy objective of modernizing the public solicitation framework, protecting the public from fraudulent or exploitative fundraising, and ensuring that donated funds and goods reach the intended beneficiaries. The present legal framework is anchored on Act No. 4075 of 1933 and Presidential Decree No. 1564 of 1978. The bill correctly recognizes that public solicitation now takes place through national, regional, local, disaster-response, and online channels that were not contemplated by the old law.</w:t>
      </w:r>
    </w:p>
    <w:p>
      <w:pPr>
        <w:spacing w:before="0" w:after="140" w:line="264" w:lineRule="auto"/>
        <w:jc w:val="both"/>
      </w:pPr>
      <w:r>
        <w:rPr>
          <w:rFonts w:ascii="Arial" w:hAnsi="Arial" w:cs="Arial"/>
          <w:sz w:val="20"/>
          <w:szCs w:val="20"/>
        </w:rPr>
        <w:t xml:space="preserve">ULAP recommends support in principle, subject to amendments that preserve local autonomy, clarify the role of local governments and local social welfare offices, protect legitimate community and disaster-response fundraising, and avoid unfunded enforcement mandates on LGUs.</w:t>
      </w:r>
    </w:p>
    <w:p>
      <w:pPr>
        <w:keepNext/>
        <w:spacing w:before="220" w:after="100" w:line="264" w:lineRule="auto"/>
        <w:jc w:val="left"/>
      </w:pPr>
      <w:r>
        <w:rPr>
          <w:rFonts w:ascii="Arial" w:hAnsi="Arial" w:cs="Arial"/>
          <w:b/>
          <w:bCs/>
          <w:sz w:val="20"/>
          <w:szCs w:val="20"/>
        </w:rPr>
        <w:t xml:space="preserve">II. Local Government Context</w:t>
      </w:r>
    </w:p>
    <w:p>
      <w:pPr>
        <w:spacing w:before="0" w:after="140" w:line="264" w:lineRule="auto"/>
        <w:jc w:val="both"/>
      </w:pPr>
      <w:r>
        <w:rPr>
          <w:rFonts w:ascii="Arial" w:hAnsi="Arial" w:cs="Arial"/>
          <w:sz w:val="20"/>
          <w:szCs w:val="20"/>
        </w:rPr>
        <w:t xml:space="preserve">Public solicitation is not only a national regulatory issue. It is experienced at the community level: medical assistance drives, disaster-response donation campaigns, barangay and civil-society initiatives, school and faith-based activities, social welfare fundraisers, and online appeals that are often rooted in a specific locality. LGUs also serve as the first point of verification for many donors, beneficiaries, and social welfare partners.</w:t>
      </w:r>
    </w:p>
    <w:p>
      <w:pPr>
        <w:spacing w:before="0" w:after="140" w:line="264" w:lineRule="auto"/>
        <w:jc w:val="both"/>
      </w:pPr>
      <w:r>
        <w:rPr>
          <w:rFonts w:ascii="Arial" w:hAnsi="Arial" w:cs="Arial"/>
          <w:sz w:val="20"/>
          <w:szCs w:val="20"/>
        </w:rPr>
        <w:t xml:space="preserve">This local dimension matters because HB No. 5099, as presently drafted, authorizes only the DSWD Secretary or Undersecretary to issue permits for all public solicitations and DSWD Regional Directors for regional solicitations. It does not clearly create local or provincial public solicitation categories or a local-level permit pathway. This is a material gap because DSWD public materials on earlier public solicitation reform proposals recognized local-level issuance through Provincial Governors and City/Municipal Mayors acting through the PSWDO, CSWDO, or MSWDO, and also identified the Local Government Code basis for local permits for charitable or welfare activities.</w:t>
      </w:r>
    </w:p>
    <w:p>
      <w:pPr>
        <w:spacing w:before="0" w:after="140" w:line="264" w:lineRule="auto"/>
        <w:jc w:val="both"/>
      </w:pPr>
      <w:r>
        <w:rPr>
          <w:rFonts w:ascii="Arial" w:hAnsi="Arial" w:cs="Arial"/>
          <w:sz w:val="20"/>
          <w:szCs w:val="20"/>
        </w:rPr>
        <w:t xml:space="preserve">The bill should therefore be calibrated so that national regulation strengthens, rather than displaces, local verification, local social welfare judgment, and local disaster-response capacity.</w:t>
      </w:r>
    </w:p>
    <w:p>
      <w:pPr>
        <w:keepNext/>
        <w:spacing w:before="220" w:after="100" w:line="264" w:lineRule="auto"/>
        <w:jc w:val="left"/>
      </w:pPr>
      <w:r>
        <w:rPr>
          <w:rFonts w:ascii="Arial" w:hAnsi="Arial" w:cs="Arial"/>
          <w:b/>
          <w:bCs/>
          <w:sz w:val="20"/>
          <w:szCs w:val="20"/>
        </w:rPr>
        <w:t xml:space="preserve">III. Provisions ULAP Supports</w:t>
      </w:r>
    </w:p>
    <w:p>
      <w:pPr>
        <w:spacing w:before="0" w:after="140" w:line="264" w:lineRule="auto"/>
        <w:jc w:val="both"/>
      </w:pPr>
      <w:r>
        <w:rPr>
          <w:rFonts w:ascii="Arial" w:hAnsi="Arial" w:cs="Arial"/>
          <w:sz w:val="20"/>
          <w:szCs w:val="20"/>
        </w:rPr>
        <w:t xml:space="preserve">ULAP supports the following elements of HB No. 5099:</w:t>
      </w:r>
    </w:p>
    <w:p>
      <w:pPr>
        <w:spacing w:before="0" w:after="140" w:line="264" w:lineRule="auto"/>
        <w:jc w:val="both"/>
      </w:pPr>
      <w:r>
        <w:rPr>
          <w:rFonts w:ascii="Arial" w:hAnsi="Arial" w:cs="Arial"/>
          <w:sz w:val="20"/>
          <w:szCs w:val="20"/>
        </w:rPr>
        <w:t xml:space="preserve">- The declaration of policy in Section 2, which protects the public from unscrupulous solicitation and promotes proper utilization of funds for intended purposes and beneficiaries.</w:t>
      </w:r>
    </w:p>
    <w:p>
      <w:pPr>
        <w:spacing w:before="0" w:after="140" w:line="264" w:lineRule="auto"/>
        <w:jc w:val="both"/>
      </w:pPr>
      <w:r>
        <w:rPr>
          <w:rFonts w:ascii="Arial" w:hAnsi="Arial" w:cs="Arial"/>
          <w:sz w:val="20"/>
          <w:szCs w:val="20"/>
        </w:rPr>
        <w:t xml:space="preserve">- The recognition of exemptions in Section 5 for organizations with statutory authority, traditional caroling, religious solicitations within places of worship, and strictly personal solicitations among relatives and personally known associates.</w:t>
      </w:r>
    </w:p>
    <w:p>
      <w:pPr>
        <w:spacing w:before="0" w:after="140" w:line="264" w:lineRule="auto"/>
        <w:jc w:val="both"/>
      </w:pPr>
      <w:r>
        <w:rPr>
          <w:rFonts w:ascii="Arial" w:hAnsi="Arial" w:cs="Arial"/>
          <w:sz w:val="20"/>
          <w:szCs w:val="20"/>
        </w:rPr>
        <w:t xml:space="preserve">- The creation of a temporary solicitation permit during calamities or disasters under Section 10, subject to later submission of full requirements. This is important for time-sensitive humanitarian response.</w:t>
      </w:r>
    </w:p>
    <w:p>
      <w:pPr>
        <w:spacing w:before="0" w:after="140" w:line="264" w:lineRule="auto"/>
        <w:jc w:val="both"/>
      </w:pPr>
      <w:r>
        <w:rPr>
          <w:rFonts w:ascii="Arial" w:hAnsi="Arial" w:cs="Arial"/>
          <w:sz w:val="20"/>
          <w:szCs w:val="20"/>
        </w:rPr>
        <w:t xml:space="preserve">- The allocation rule in Section 13 limiting administrative costs to thirty percent of proceeds, while allowing flexibility for disaster, calamity, national, or local crisis campaigns.</w:t>
      </w:r>
    </w:p>
    <w:p>
      <w:pPr>
        <w:spacing w:before="0" w:after="140" w:line="264" w:lineRule="auto"/>
        <w:jc w:val="both"/>
      </w:pPr>
      <w:r>
        <w:rPr>
          <w:rFonts w:ascii="Arial" w:hAnsi="Arial" w:cs="Arial"/>
          <w:sz w:val="20"/>
          <w:szCs w:val="20"/>
        </w:rPr>
        <w:t xml:space="preserve">- The public information function in Section 25, which requires publication of individuals, organizations, or agencies with valid permits and those whose permits have been cancelled or revoked.</w:t>
      </w:r>
    </w:p>
    <w:p>
      <w:pPr>
        <w:keepNext/>
        <w:spacing w:before="220" w:after="100" w:line="264" w:lineRule="auto"/>
        <w:jc w:val="left"/>
      </w:pPr>
      <w:r>
        <w:rPr>
          <w:rFonts w:ascii="Arial" w:hAnsi="Arial" w:cs="Arial"/>
          <w:b/>
          <w:bCs/>
          <w:sz w:val="20"/>
          <w:szCs w:val="20"/>
        </w:rPr>
        <w:t xml:space="preserve">IV. Key Concerns and Recommended Amendments</w:t>
      </w:r>
    </w:p>
    <w:p>
      <w:pPr>
        <w:keepNext/>
        <w:spacing w:before="180" w:after="90" w:line="264" w:lineRule="auto"/>
        <w:jc w:val="both"/>
      </w:pPr>
      <w:r>
        <w:rPr>
          <w:rFonts w:ascii="Arial" w:hAnsi="Arial" w:cs="Arial"/>
          <w:b/>
          <w:bCs/>
          <w:sz w:val="20"/>
          <w:szCs w:val="20"/>
        </w:rPr>
        <w:t xml:space="preserve">1. Preserve Local Autonomy and Create Local/Provincial Permit Pathways</w:t>
      </w:r>
    </w:p>
    <w:p>
      <w:pPr>
        <w:spacing w:before="0" w:after="140" w:line="264" w:lineRule="auto"/>
        <w:jc w:val="both"/>
      </w:pPr>
      <w:r>
        <w:rPr>
          <w:rFonts w:ascii="Arial" w:hAnsi="Arial" w:cs="Arial"/>
          <w:sz w:val="20"/>
          <w:szCs w:val="20"/>
        </w:rPr>
        <w:t xml:space="preserve">Sections 7 and 9 should be amended to add local and provincial public solicitation categories and to authorize a delegated or coordinated local process through PSWDOs, CSWDOs, and MSWDOs, subject to DSWD standards and interoperable reporting. A purely DSWD central/regional permit architecture risks delaying legitimate local drives and weakens the capacity of LGUs to validate local beneficiaries and local conditions.</w:t>
      </w:r>
    </w:p>
    <w:p>
      <w:pPr>
        <w:ind w:left="720" w:right="360"/>
        <w:spacing w:before="90" w:after="140" w:line="264" w:lineRule="auto"/>
        <w:jc w:val="both"/>
      </w:pPr>
      <w:r>
        <w:rPr>
          <w:rFonts w:ascii="Arial" w:hAnsi="Arial" w:cs="Arial"/>
          <w:b/>
          <w:bCs/>
          <w:sz w:val="20"/>
          <w:szCs w:val="20"/>
        </w:rPr>
        <w:t xml:space="preserve">Recommended amendment:</w:t>
      </w:r>
      <w:r>
        <w:rPr>
          <w:rFonts w:ascii="Arial" w:hAnsi="Arial" w:cs="Arial"/>
          <w:sz w:val="20"/>
          <w:szCs w:val="20"/>
        </w:rPr>
        <w:t xml:space="preserve"> Add local and provincial public solicitation categories, and allow permits for purely local drives to be issued or endorsed through the concerned city/municipal or provincial social welfare and development office, under DSWD-prescribed minimum standards and reporting templates.</w:t>
      </w:r>
    </w:p>
    <w:p>
      <w:pPr>
        <w:keepNext/>
        <w:spacing w:before="180" w:after="90" w:line="264" w:lineRule="auto"/>
        <w:jc w:val="both"/>
      </w:pPr>
      <w:r>
        <w:rPr>
          <w:rFonts w:ascii="Arial" w:hAnsi="Arial" w:cs="Arial"/>
          <w:b/>
          <w:bCs/>
          <w:sz w:val="20"/>
          <w:szCs w:val="20"/>
        </w:rPr>
        <w:t xml:space="preserve">2. Establish a Risk-Based, Proportionate Requirements Framework</w:t>
      </w:r>
    </w:p>
    <w:p>
      <w:pPr>
        <w:spacing w:before="0" w:after="140" w:line="264" w:lineRule="auto"/>
        <w:jc w:val="both"/>
      </w:pPr>
      <w:r>
        <w:rPr>
          <w:rFonts w:ascii="Arial" w:hAnsi="Arial" w:cs="Arial"/>
          <w:sz w:val="20"/>
          <w:szCs w:val="20"/>
        </w:rPr>
        <w:t xml:space="preserve">Section 6 imposes a uniform documentation burden, including notarized beneficiary concurrence, SEC or regulatory certificates, NBI clearance for individual applicants, board resolutions, and possible additional requirements as DSWD may deem necessary. These requirements may be suitable for large organizations or nationwide campaigns, but they can be disproportionate for small medical assistance drives, community fundraisers, barangay-led activities, and urgent disaster-response appeals.</w:t>
      </w:r>
    </w:p>
    <w:p>
      <w:pPr>
        <w:ind w:left="720" w:right="360"/>
        <w:spacing w:before="90" w:after="140" w:line="264" w:lineRule="auto"/>
        <w:jc w:val="both"/>
      </w:pPr>
      <w:r>
        <w:rPr>
          <w:rFonts w:ascii="Arial" w:hAnsi="Arial" w:cs="Arial"/>
          <w:b/>
          <w:bCs/>
          <w:sz w:val="20"/>
          <w:szCs w:val="20"/>
        </w:rPr>
        <w:t xml:space="preserve">Recommended amendment:</w:t>
      </w:r>
      <w:r>
        <w:rPr>
          <w:rFonts w:ascii="Arial" w:hAnsi="Arial" w:cs="Arial"/>
          <w:sz w:val="20"/>
          <w:szCs w:val="20"/>
        </w:rPr>
        <w:t xml:space="preserve"> Direct DSWD, in consultation with DILG and local leagues, to adopt tiered requirements by risk level, solicitation amount, applicant type, method, and geographic scope. The bill should distinguish low-risk local or community solicitations from large-scale, online, cross-regional, foreign-linked, or recurring campaigns.</w:t>
      </w:r>
    </w:p>
    <w:p>
      <w:pPr>
        <w:keepNext/>
        <w:spacing w:before="180" w:after="90" w:line="264" w:lineRule="auto"/>
        <w:jc w:val="both"/>
      </w:pPr>
      <w:r>
        <w:rPr>
          <w:rFonts w:ascii="Arial" w:hAnsi="Arial" w:cs="Arial"/>
          <w:b/>
          <w:bCs/>
          <w:sz w:val="20"/>
          <w:szCs w:val="20"/>
        </w:rPr>
        <w:t xml:space="preserve">3. Protect Disaster and Crisis Response from Permit Delays</w:t>
      </w:r>
    </w:p>
    <w:p>
      <w:pPr>
        <w:spacing w:before="0" w:after="140" w:line="264" w:lineRule="auto"/>
        <w:jc w:val="both"/>
      </w:pPr>
      <w:r>
        <w:rPr>
          <w:rFonts w:ascii="Arial" w:hAnsi="Arial" w:cs="Arial"/>
          <w:sz w:val="20"/>
          <w:szCs w:val="20"/>
        </w:rPr>
        <w:t xml:space="preserve">Section 10 is a constructive provision, but it should be strengthened. During disasters, LGUs, accredited civil-society organizations, local businesses, faith-based groups, and diaspora organizations often mobilize faster than national paperwork can be completed. A temporary permit should not become a bottleneck when lives, food, shelter, medical assistance, or evacuation support are at stake.</w:t>
      </w:r>
    </w:p>
    <w:p>
      <w:pPr>
        <w:ind w:left="720" w:right="360"/>
        <w:spacing w:before="90" w:after="140" w:line="264" w:lineRule="auto"/>
        <w:jc w:val="both"/>
      </w:pPr>
      <w:r>
        <w:rPr>
          <w:rFonts w:ascii="Arial" w:hAnsi="Arial" w:cs="Arial"/>
          <w:b/>
          <w:bCs/>
          <w:sz w:val="20"/>
          <w:szCs w:val="20"/>
        </w:rPr>
        <w:t xml:space="preserve">Recommended amendment:</w:t>
      </w:r>
      <w:r>
        <w:rPr>
          <w:rFonts w:ascii="Arial" w:hAnsi="Arial" w:cs="Arial"/>
          <w:sz w:val="20"/>
          <w:szCs w:val="20"/>
        </w:rPr>
        <w:t xml:space="preserve"> Require a disaster-response fast lane with a clear processing period, electronic submission, provisional authority based on LGU or DRRM endorsement where appropriate, and ex-post compliance within a reasonable period. The bill should also recognize LGU-led donation drives and local DRRM operations as legitimate public-interest activities subject to accountability but not immobilized by pre-clearance formalities.</w:t>
      </w:r>
    </w:p>
    <w:p>
      <w:pPr>
        <w:keepNext/>
        <w:spacing w:before="180" w:after="90" w:line="264" w:lineRule="auto"/>
        <w:jc w:val="both"/>
      </w:pPr>
      <w:r>
        <w:rPr>
          <w:rFonts w:ascii="Arial" w:hAnsi="Arial" w:cs="Arial"/>
          <w:b/>
          <w:bCs/>
          <w:sz w:val="20"/>
          <w:szCs w:val="20"/>
        </w:rPr>
        <w:t xml:space="preserve">4. Clarify Privacy Safeguards for Donor and Beneficiary Data</w:t>
      </w:r>
    </w:p>
    <w:p>
      <w:pPr>
        <w:spacing w:before="0" w:after="140" w:line="264" w:lineRule="auto"/>
        <w:jc w:val="both"/>
      </w:pPr>
      <w:r>
        <w:rPr>
          <w:rFonts w:ascii="Arial" w:hAnsi="Arial" w:cs="Arial"/>
          <w:sz w:val="20"/>
          <w:szCs w:val="20"/>
        </w:rPr>
        <w:t xml:space="preserve">Sections 14, 15, 16, and 25 require reports and public information involving donor and beneficiary data, including addresses, contact numbers, signatures, assistance received, and anonymous donation information. These requirements advance accountability, but they also create privacy, dignity, and safety risks for poor, vulnerable, marginalized, disaster-affected, and medically distressed beneficiaries.</w:t>
      </w:r>
    </w:p>
    <w:p>
      <w:pPr>
        <w:ind w:left="720" w:right="360"/>
        <w:spacing w:before="90" w:after="140" w:line="264" w:lineRule="auto"/>
        <w:jc w:val="both"/>
      </w:pPr>
      <w:r>
        <w:rPr>
          <w:rFonts w:ascii="Arial" w:hAnsi="Arial" w:cs="Arial"/>
          <w:b/>
          <w:bCs/>
          <w:sz w:val="20"/>
          <w:szCs w:val="20"/>
        </w:rPr>
        <w:t xml:space="preserve">Recommended amendment:</w:t>
      </w:r>
      <w:r>
        <w:rPr>
          <w:rFonts w:ascii="Arial" w:hAnsi="Arial" w:cs="Arial"/>
          <w:sz w:val="20"/>
          <w:szCs w:val="20"/>
        </w:rPr>
        <w:t xml:space="preserve"> Require DSWD to publish permit and compliance status without publicly disclosing personally identifiable donor or beneficiary information. Detailed lists should be available only to authorized oversight bodies subject to the Data Privacy Act, with anonymized or aggregated public disclosure unless the donor or beneficiary gives informed consent or disclosure is required by law.</w:t>
      </w:r>
    </w:p>
    <w:p>
      <w:pPr>
        <w:keepNext/>
        <w:spacing w:before="180" w:after="90" w:line="264" w:lineRule="auto"/>
        <w:jc w:val="both"/>
      </w:pPr>
      <w:r>
        <w:rPr>
          <w:rFonts w:ascii="Arial" w:hAnsi="Arial" w:cs="Arial"/>
          <w:b/>
          <w:bCs/>
          <w:sz w:val="20"/>
          <w:szCs w:val="20"/>
        </w:rPr>
        <w:t xml:space="preserve">5. Avoid Unfunded Enforcement Mandates on LGUs</w:t>
      </w:r>
    </w:p>
    <w:p>
      <w:pPr>
        <w:spacing w:before="0" w:after="140" w:line="264" w:lineRule="auto"/>
        <w:jc w:val="both"/>
      </w:pPr>
      <w:r>
        <w:rPr>
          <w:rFonts w:ascii="Arial" w:hAnsi="Arial" w:cs="Arial"/>
          <w:sz w:val="20"/>
          <w:szCs w:val="20"/>
        </w:rPr>
        <w:t xml:space="preserve">Sections 17 to 19 give DSWD monitoring, visitorial, complaint-referral, and law-enforcement coordination powers. The bill should state clearly that any LGU role in monitoring, validation, local coordination, or enforcement must be accompanied by capacity-building, standard tools, and funding support. Local social welfare offices are already carrying large service-delivery caseloads.</w:t>
      </w:r>
    </w:p>
    <w:p>
      <w:pPr>
        <w:ind w:left="720" w:right="360"/>
        <w:spacing w:before="90" w:after="140" w:line="264" w:lineRule="auto"/>
        <w:jc w:val="both"/>
      </w:pPr>
      <w:r>
        <w:rPr>
          <w:rFonts w:ascii="Arial" w:hAnsi="Arial" w:cs="Arial"/>
          <w:b/>
          <w:bCs/>
          <w:sz w:val="20"/>
          <w:szCs w:val="20"/>
        </w:rPr>
        <w:t xml:space="preserve">Recommended amendment:</w:t>
      </w:r>
      <w:r>
        <w:rPr>
          <w:rFonts w:ascii="Arial" w:hAnsi="Arial" w:cs="Arial"/>
          <w:sz w:val="20"/>
          <w:szCs w:val="20"/>
        </w:rPr>
        <w:t xml:space="preserve"> Add an implementation-support clause requiring DSWD and DILG to issue standard operating procedures, train PSWDOs/CSWDOs/MSWDOs, provide digital reporting tools, and avoid shifting inspection or enforcement costs to LGUs without appropriations.</w:t>
      </w:r>
    </w:p>
    <w:p>
      <w:pPr>
        <w:keepNext/>
        <w:spacing w:before="180" w:after="90" w:line="264" w:lineRule="auto"/>
        <w:jc w:val="both"/>
      </w:pPr>
      <w:r>
        <w:rPr>
          <w:rFonts w:ascii="Arial" w:hAnsi="Arial" w:cs="Arial"/>
          <w:b/>
          <w:bCs/>
          <w:sz w:val="20"/>
          <w:szCs w:val="20"/>
        </w:rPr>
        <w:t xml:space="preserve">6. Calibrate Penalties and Forfeiture to Good Faith and Beneficiary Protection</w:t>
      </w:r>
    </w:p>
    <w:p>
      <w:pPr>
        <w:spacing w:before="0" w:after="140" w:line="264" w:lineRule="auto"/>
        <w:jc w:val="both"/>
      </w:pPr>
      <w:r>
        <w:rPr>
          <w:rFonts w:ascii="Arial" w:hAnsi="Arial" w:cs="Arial"/>
          <w:sz w:val="20"/>
          <w:szCs w:val="20"/>
        </w:rPr>
        <w:t xml:space="preserve">Sections 20 to 24 should distinguish fraud, intentional misrepresentation, misuse of funds, exploitative solicitation, and repeated violations from good-faith technical noncompliance. Criminal penalties, temporary public-officer disqualification, blacklisting, and forfeiture are appropriate for serious abuse, but they may be excessive if applied to local volunteers, community associations, or emergency drives that complied substantially but failed to meet technical requirements.</w:t>
      </w:r>
    </w:p>
    <w:p>
      <w:pPr>
        <w:ind w:left="720" w:right="360"/>
        <w:spacing w:before="90" w:after="140" w:line="264" w:lineRule="auto"/>
        <w:jc w:val="both"/>
      </w:pPr>
      <w:r>
        <w:rPr>
          <w:rFonts w:ascii="Arial" w:hAnsi="Arial" w:cs="Arial"/>
          <w:b/>
          <w:bCs/>
          <w:sz w:val="20"/>
          <w:szCs w:val="20"/>
        </w:rPr>
        <w:t xml:space="preserve">Recommended amendment:</w:t>
      </w:r>
      <w:r>
        <w:rPr>
          <w:rFonts w:ascii="Arial" w:hAnsi="Arial" w:cs="Arial"/>
          <w:sz w:val="20"/>
          <w:szCs w:val="20"/>
        </w:rPr>
        <w:t xml:space="preserve"> Insert a mens rea or willfulness standard for criminal liability where appropriate, provide corrective compliance opportunities for minor first-time violations, protect intended beneficiaries from loss of donated assistance, and allow DSWD or the court to direct unauthorized proceeds to the intended beneficiaries, return donors, or a protected public welfare fund instead of automatic forfeiture in all cases.</w:t>
      </w:r>
    </w:p>
    <w:p>
      <w:pPr>
        <w:keepNext/>
        <w:spacing w:before="180" w:after="90" w:line="264" w:lineRule="auto"/>
        <w:jc w:val="both"/>
      </w:pPr>
      <w:r>
        <w:rPr>
          <w:rFonts w:ascii="Arial" w:hAnsi="Arial" w:cs="Arial"/>
          <w:b/>
          <w:bCs/>
          <w:sz w:val="20"/>
          <w:szCs w:val="20"/>
        </w:rPr>
        <w:t xml:space="preserve">7. Strengthen IRR Consultation with Local Government Stakeholders</w:t>
      </w:r>
    </w:p>
    <w:p>
      <w:pPr>
        <w:spacing w:before="0" w:after="140" w:line="264" w:lineRule="auto"/>
        <w:jc w:val="both"/>
      </w:pPr>
      <w:r>
        <w:rPr>
          <w:rFonts w:ascii="Arial" w:hAnsi="Arial" w:cs="Arial"/>
          <w:sz w:val="20"/>
          <w:szCs w:val="20"/>
        </w:rPr>
        <w:t xml:space="preserve">Section 26 includes DILG and the Association of Local Social Welfare and Development Officers of the Philippines, Inc. in the IRR process. ULAP recommends expressly adding ULAP and the national leagues of provinces, cities, municipalities, and barangays as mandatory consultees because the bill will be implemented through local governance realities even when DSWD remains the primary regulator.</w:t>
      </w:r>
    </w:p>
    <w:p>
      <w:pPr>
        <w:ind w:left="720" w:right="360"/>
        <w:spacing w:before="90" w:after="140" w:line="264" w:lineRule="auto"/>
        <w:jc w:val="both"/>
      </w:pPr>
      <w:r>
        <w:rPr>
          <w:rFonts w:ascii="Arial" w:hAnsi="Arial" w:cs="Arial"/>
          <w:b/>
          <w:bCs/>
          <w:sz w:val="20"/>
          <w:szCs w:val="20"/>
        </w:rPr>
        <w:t xml:space="preserve">Recommended amendment:</w:t>
      </w:r>
      <w:r>
        <w:rPr>
          <w:rFonts w:ascii="Arial" w:hAnsi="Arial" w:cs="Arial"/>
          <w:sz w:val="20"/>
          <w:szCs w:val="20"/>
        </w:rPr>
        <w:t xml:space="preserve"> Add ULAP, the League of Provinces of the Philippines, League of Cities of the Philippines, League of Municipalities of the Philippines, and Liga ng mga Barangay sa Pilipinas to the IRR consultation list.</w:t>
      </w:r>
    </w:p>
    <w:p>
      <w:pPr>
        <w:keepNext/>
        <w:spacing w:before="220" w:after="100" w:line="264" w:lineRule="auto"/>
        <w:jc w:val="left"/>
      </w:pPr>
      <w:r>
        <w:rPr>
          <w:rFonts w:ascii="Arial" w:hAnsi="Arial" w:cs="Arial"/>
          <w:b/>
          <w:bCs/>
          <w:sz w:val="20"/>
          <w:szCs w:val="20"/>
        </w:rPr>
        <w:t xml:space="preserve">V. ULAP Position</w:t>
      </w:r>
    </w:p>
    <w:p>
      <w:pPr>
        <w:spacing w:before="0" w:after="140" w:line="264" w:lineRule="auto"/>
        <w:jc w:val="both"/>
      </w:pPr>
      <w:r>
        <w:rPr>
          <w:rFonts w:ascii="Arial" w:hAnsi="Arial" w:cs="Arial"/>
          <w:sz w:val="20"/>
          <w:szCs w:val="20"/>
        </w:rPr>
        <w:t xml:space="preserve">ULAP recommends that the House Committee on Social Services adopt a position of qualified support for HB No. 5099. The bill should proceed because the policy objective is sound and the current legal framework is outdated. Committee approval should, however, incorporate amendments on local permit categories, local social welfare coordination, disaster fast lanes, privacy safeguards, proportional compliance tiers, and funding-supported implementation.</w:t>
      </w:r>
    </w:p>
    <w:p>
      <w:pPr>
        <w:spacing w:before="0" w:after="140" w:line="264" w:lineRule="auto"/>
        <w:jc w:val="both"/>
      </w:pPr>
      <w:r>
        <w:rPr>
          <w:rFonts w:ascii="Arial" w:hAnsi="Arial" w:cs="Arial"/>
          <w:sz w:val="20"/>
          <w:szCs w:val="20"/>
        </w:rPr>
        <w:t xml:space="preserve">With these refinements, HB No. 5099 can protect the public from fraudulent solicitation while preserving the legitimate charitable, disaster-response, and community-support functions that LGUs and local partners perform every day.</w:t>
      </w:r>
    </w:p>
    <w:p>
      <w:pPr>
        <w:keepNext/>
        <w:spacing w:before="220" w:after="100" w:line="264" w:lineRule="auto"/>
        <w:jc w:val="left"/>
      </w:pPr>
      <w:r>
        <w:rPr>
          <w:rFonts w:ascii="Arial" w:hAnsi="Arial" w:cs="Arial"/>
          <w:b/>
          <w:bCs/>
          <w:sz w:val="20"/>
          <w:szCs w:val="20"/>
        </w:rPr>
        <w:t xml:space="preserve">VI. Summary of Requested Amendments</w:t>
      </w:r>
    </w:p>
    <w:p>
      <w:pPr>
        <w:spacing w:before="0" w:after="140" w:line="264" w:lineRule="auto"/>
        <w:jc w:val="both"/>
      </w:pPr>
      <w:r>
        <w:rPr>
          <w:rFonts w:ascii="Arial" w:hAnsi="Arial" w:cs="Arial"/>
          <w:sz w:val="20"/>
          <w:szCs w:val="20"/>
        </w:rPr>
        <w:t xml:space="preserve">- Add local and provincial public solicitation categories and clarify local-level issuance or endorsement through PSWDOs, CSWDOs, and MSWDOs under DSWD standards.</w:t>
      </w:r>
    </w:p>
    <w:p>
      <w:pPr>
        <w:spacing w:before="0" w:after="140" w:line="264" w:lineRule="auto"/>
        <w:jc w:val="both"/>
      </w:pPr>
      <w:r>
        <w:rPr>
          <w:rFonts w:ascii="Arial" w:hAnsi="Arial" w:cs="Arial"/>
          <w:sz w:val="20"/>
          <w:szCs w:val="20"/>
        </w:rPr>
        <w:t xml:space="preserve">- Adopt tiered documentary requirements based on risk, amount, applicant type, method, and geographic scope.</w:t>
      </w:r>
    </w:p>
    <w:p>
      <w:pPr>
        <w:spacing w:before="0" w:after="140" w:line="264" w:lineRule="auto"/>
        <w:jc w:val="both"/>
      </w:pPr>
      <w:r>
        <w:rPr>
          <w:rFonts w:ascii="Arial" w:hAnsi="Arial" w:cs="Arial"/>
          <w:sz w:val="20"/>
          <w:szCs w:val="20"/>
        </w:rPr>
        <w:t xml:space="preserve">- Create a disaster-response fast lane with electronic filing, provisional authority, LGU/DRRM coordination, and ex-post compliance.</w:t>
      </w:r>
    </w:p>
    <w:p>
      <w:pPr>
        <w:spacing w:before="0" w:after="140" w:line="264" w:lineRule="auto"/>
        <w:jc w:val="both"/>
      </w:pPr>
      <w:r>
        <w:rPr>
          <w:rFonts w:ascii="Arial" w:hAnsi="Arial" w:cs="Arial"/>
          <w:sz w:val="20"/>
          <w:szCs w:val="20"/>
        </w:rPr>
        <w:t xml:space="preserve">- Protect donor and beneficiary personal data; publish permit status and compliance information without exposing sensitive personal details.</w:t>
      </w:r>
    </w:p>
    <w:p>
      <w:pPr>
        <w:spacing w:before="0" w:after="140" w:line="264" w:lineRule="auto"/>
        <w:jc w:val="both"/>
      </w:pPr>
      <w:r>
        <w:rPr>
          <w:rFonts w:ascii="Arial" w:hAnsi="Arial" w:cs="Arial"/>
          <w:sz w:val="20"/>
          <w:szCs w:val="20"/>
        </w:rPr>
        <w:t xml:space="preserve">- Require DSWD-DILG capacity-building, digital tools, and funding support for any LGU monitoring or coordination role.</w:t>
      </w:r>
    </w:p>
    <w:p>
      <w:pPr>
        <w:spacing w:before="0" w:after="140" w:line="264" w:lineRule="auto"/>
        <w:jc w:val="both"/>
      </w:pPr>
      <w:r>
        <w:rPr>
          <w:rFonts w:ascii="Arial" w:hAnsi="Arial" w:cs="Arial"/>
          <w:sz w:val="20"/>
          <w:szCs w:val="20"/>
        </w:rPr>
        <w:t xml:space="preserve">- Calibrate penalties, blacklisting, public-officer disqualification, and forfeiture to distinguish fraud and willful abuse from good-faith technical noncompliance.</w:t>
      </w:r>
    </w:p>
    <w:p>
      <w:pPr>
        <w:spacing w:before="0" w:after="140" w:line="264" w:lineRule="auto"/>
        <w:jc w:val="both"/>
      </w:pPr>
      <w:r>
        <w:rPr>
          <w:rFonts w:ascii="Arial" w:hAnsi="Arial" w:cs="Arial"/>
          <w:sz w:val="20"/>
          <w:szCs w:val="20"/>
        </w:rPr>
        <w:t xml:space="preserve">- Include ULAP and the national leagues as mandatory consultees in the IRR process.</w:t>
      </w:r>
    </w:p>
    <w:p>
      <w:pPr>
        <w:keepNext/>
        <w:spacing w:before="220" w:after="100" w:line="264" w:lineRule="auto"/>
        <w:jc w:val="left"/>
      </w:pPr>
      <w:r>
        <w:rPr>
          <w:rFonts w:ascii="Arial" w:hAnsi="Arial" w:cs="Arial"/>
          <w:b/>
          <w:bCs/>
          <w:sz w:val="20"/>
          <w:szCs w:val="20"/>
        </w:rPr>
        <w:t xml:space="preserve">Sources Reviewed</w:t>
      </w:r>
    </w:p>
    <w:p>
      <w:pPr>
        <w:spacing w:before="0" w:after="140" w:line="264" w:lineRule="auto"/>
        <w:jc w:val="both"/>
      </w:pPr>
      <w:r>
        <w:rPr>
          <w:rFonts w:ascii="Arial" w:hAnsi="Arial" w:cs="Arial"/>
          <w:sz w:val="20"/>
          <w:szCs w:val="20"/>
        </w:rPr>
        <w:t xml:space="preserve">- House Committee on Social Services request letter dated 1 June 2026, received through ULAP Secretariat on 2 June 2026.</w:t>
      </w:r>
    </w:p>
    <w:p>
      <w:pPr>
        <w:spacing w:before="0" w:after="140" w:line="264" w:lineRule="auto"/>
        <w:jc w:val="both"/>
      </w:pPr>
      <w:r>
        <w:rPr>
          <w:rFonts w:ascii="Arial" w:hAnsi="Arial" w:cs="Arial"/>
          <w:sz w:val="20"/>
          <w:szCs w:val="20"/>
        </w:rPr>
        <w:t xml:space="preserve">- House Bill No. 5099, Twentieth Congress, introduced by Representative Cheeno Miguel D. Almario, official House legislative documents PDF.</w:t>
      </w:r>
    </w:p>
    <w:p>
      <w:pPr>
        <w:spacing w:before="0" w:after="140" w:line="264" w:lineRule="auto"/>
        <w:jc w:val="both"/>
      </w:pPr>
      <w:r>
        <w:rPr>
          <w:rFonts w:ascii="Arial" w:hAnsi="Arial" w:cs="Arial"/>
          <w:sz w:val="20"/>
          <w:szCs w:val="20"/>
        </w:rPr>
        <w:t xml:space="preserve">- DSWD public materials on proposed public solicitation legislation and existing public solicitation issuances, including PD No. 1564, DSWD Memorandum Circular No. 17, series of 2014, and local permit references under the Local Government Code.</w:t>
      </w:r>
    </w:p>
    <w:p>
      <w:pPr>
        <w:spacing w:before="0" w:after="140" w:line="264" w:lineRule="auto"/>
        <w:jc w:val="both"/>
      </w:pPr>
      <w:r>
        <w:rPr>
          <w:rFonts w:ascii="Arial" w:hAnsi="Arial" w:cs="Arial"/>
          <w:sz w:val="20"/>
          <w:szCs w:val="20"/>
        </w:rPr>
        <w:t xml:space="preserve">- Existing ULAP institutional context showing participation in a DSWD Technical Working Group on Public Solicitation.</w:t>
      </w:r>
    </w:p>
    <w:p>
      <w:pPr>
        <w:spacing w:before="160" w:after="160" w:line="264" w:lineRule="auto"/>
        <w:jc w:val="center"/>
      </w:pPr>
      <w:r>
        <w:rPr>
          <w:rFonts w:ascii="Arial" w:hAnsi="Arial" w:cs="Arial"/>
          <w:b/>
          <w:bCs/>
          <w:i/>
          <w:iCs/>
          <w:sz w:val="22"/>
          <w:szCs w:val="22"/>
        </w:rPr>
        <w:t xml:space="preserve"> </w:t>
      </w:r>
      <w:r>
        <w:rPr>
          <w:rFonts w:ascii="Arial" w:hAnsi="Arial" w:cs="Arial"/>
          <w:b/>
          <w:bCs/>
          <w:sz w:val="22"/>
          <w:szCs w:val="22"/>
        </w:rPr>
        <w:t xml:space="preserve"> *</w:t>
      </w:r>
    </w:p>
    <w:p>
      <w:pPr>
        <w:spacing w:before="0" w:after="140" w:line="264" w:lineRule="auto"/>
        <w:jc w:val="both"/>
      </w:pPr>
      <w:r>
        <w:rPr>
          <w:rFonts w:ascii="Arial" w:hAnsi="Arial" w:cs="Arial"/>
          <w:sz w:val="20"/>
          <w:szCs w:val="20"/>
        </w:rPr>
        <w:t xml:space="preserve">ULAP remains ready to work with the House Committee on Social Services, DSWD, DILG, and the national leagues to refine HB No. 5099 into a balanced public solicitation framework that protects donors and beneficiaries, supports accountable fundraising, and respects the operational realities of local governments.</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_rels/header1.xml.rels><?xml version="1.0" encoding="UTF-8"?><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