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0" w:line="1980" w:lineRule="exact"/>
        <w:jc w:val="left"/>
      </w:pPr>
    </w:p>
    <w:p>
      <w:pPr>
        <w:spacing w:before="0" w:after="40" w:line="264" w:lineRule="auto"/>
        <w:jc w:val="center"/>
      </w:pPr>
      <w:r>
        <w:rPr>
          <w:rFonts w:ascii="Arial" w:hAnsi="Arial" w:cs="Arial"/>
          <w:b/>
          <w:bCs/>
          <w:sz w:val="24"/>
          <w:szCs w:val="24"/>
        </w:rPr>
        <w:t xml:space="preserve">ULAP POSITION PAPER ON THE SUBSTITUTE BILL TO HOUSE BILLS NOS. 3405, 6881, 7834, AND 8407,</w:t>
      </w:r>
    </w:p>
    <w:p>
      <w:pPr>
        <w:spacing w:before="40" w:after="200" w:line="264" w:lineRule="auto"/>
        <w:jc w:val="center"/>
      </w:pPr>
      <w:r>
        <w:rPr>
          <w:rFonts w:ascii="Arial" w:hAnsi="Arial" w:cs="Arial"/>
          <w:b/>
          <w:bCs/>
          <w:sz w:val="24"/>
          <w:szCs w:val="24"/>
        </w:rPr>
        <w:t xml:space="preserve">THE PROPOSED GENDER RESPONSIVE AND INCLUSIVE PANDEMIC, EMERGENCY OR DISASTER MANAGEMENT ACT</w:t>
      </w:r>
    </w:p>
    <w:p>
      <w:pPr>
        <w:spacing w:before="0" w:after="140" w:line="264" w:lineRule="auto"/>
        <w:jc w:val="both"/>
      </w:pPr>
      <w:r>
        <w:rPr>
          <w:rFonts w:ascii="Arial" w:hAnsi="Arial" w:cs="Arial"/>
          <w:sz w:val="20"/>
          <w:szCs w:val="20"/>
        </w:rPr>
        <w:t xml:space="preserve">An Act to Ensure Gender Responsive and Inclusive Protocols and Programming to Address the Gender-Differentiated Needs of Women During Pandemics, Emergencies or Disasters.</w:t>
      </w:r>
    </w:p>
    <w:p>
      <w:pPr>
        <w:spacing w:before="0" w:after="140" w:line="264" w:lineRule="auto"/>
        <w:jc w:val="both"/>
      </w:pPr>
      <w:r>
        <w:rPr>
          <w:rFonts w:ascii="Arial" w:hAnsi="Arial" w:cs="Arial"/>
          <w:sz w:val="20"/>
          <w:szCs w:val="20"/>
        </w:rPr>
        <w:t xml:space="preserve">The Union of Local Authorities of the Philippines (ULAP), as the national umbrella organization of local government units and local officials, submits this position paper on the Substitute Bill to House Bills Nos. 3405, 6881, 7834, and 8407, otherwise titled the proposed Gender Responsive and Inclusive Pandemic, Emergency or Disaster Management Act.</w:t>
      </w:r>
    </w:p>
    <w:p>
      <w:pPr>
        <w:spacing w:before="0" w:after="140" w:line="264" w:lineRule="auto"/>
        <w:jc w:val="both"/>
      </w:pPr>
      <w:r>
        <w:rPr>
          <w:rFonts w:ascii="Arial" w:hAnsi="Arial" w:cs="Arial"/>
          <w:sz w:val="20"/>
          <w:szCs w:val="20"/>
        </w:rPr>
        <w:t xml:space="preserve">ULAP supports the objective of ensuring that pandemic, emergency, and disaster governance responds to the differentiated needs of women and at-risk groups. The measure correctly recognizes that emergencies are not gender-neutral. Women and girls often carry heavier care burdens, face heightened risks of gender-based violence, require continuity of sexual and reproductive health services, and may have unequal access to evacuation, relief, livelihood, communication, justice, and social protection systems. A national policy that makes those risks visible and actionable is both timely and necessary.</w:t>
      </w:r>
    </w:p>
    <w:p>
      <w:pPr>
        <w:spacing w:before="0" w:after="140" w:line="264" w:lineRule="auto"/>
        <w:jc w:val="both"/>
      </w:pPr>
      <w:r>
        <w:rPr>
          <w:rFonts w:ascii="Arial" w:hAnsi="Arial" w:cs="Arial"/>
          <w:sz w:val="20"/>
          <w:szCs w:val="20"/>
        </w:rPr>
        <w:t xml:space="preserve">The measure will be implemented largely through local systems: LDRRMCs, local social welfare and development offices, local health offices, GAD focal point systems, VAW desks, barangay structures, local peace and order and public safety channels, and community-based civil society partners. The bill should therefore be enacted in a form that strengthens local capability and accountability without converting LGUs into unfunded compliance arms of national policy. ULAP supports the bill in principle, subject to the amendments below.</w:t>
      </w:r>
    </w:p>
    <w:p>
      <w:pPr>
        <w:keepNext/>
        <w:spacing w:before="220" w:after="100" w:line="264" w:lineRule="auto"/>
        <w:jc w:val="left"/>
      </w:pPr>
      <w:r>
        <w:rPr>
          <w:rFonts w:ascii="Arial" w:hAnsi="Arial" w:cs="Arial"/>
          <w:b/>
          <w:bCs/>
          <w:sz w:val="20"/>
          <w:szCs w:val="20"/>
        </w:rPr>
        <w:t xml:space="preserve">ULAP's Comments and Recommendations</w:t>
      </w:r>
    </w:p>
    <w:p>
      <w:pPr>
        <w:keepNext/>
        <w:spacing w:before="180" w:after="90" w:line="264" w:lineRule="auto"/>
        <w:jc w:val="both"/>
      </w:pPr>
      <w:r>
        <w:rPr>
          <w:rFonts w:ascii="Arial" w:hAnsi="Arial" w:cs="Arial"/>
          <w:b/>
          <w:bCs/>
          <w:sz w:val="20"/>
          <w:szCs w:val="20"/>
        </w:rPr>
        <w:t xml:space="preserve">First, retain the rights-based, gender-responsive, and survivor-centered policy framework.</w:t>
      </w:r>
    </w:p>
    <w:p>
      <w:pPr>
        <w:spacing w:before="0" w:after="140" w:line="264" w:lineRule="auto"/>
        <w:jc w:val="both"/>
      </w:pPr>
      <w:r>
        <w:rPr>
          <w:rFonts w:ascii="Arial" w:hAnsi="Arial" w:cs="Arial"/>
          <w:sz w:val="20"/>
          <w:szCs w:val="20"/>
        </w:rPr>
        <w:t xml:space="preserve">Sections 2 and 3 properly place women, at-risk individuals and groups, and affected communities within prevention, preparedness, response, recovery, rehabilitation, and reconstruction. The proposed statutory recognition of meaningful participation, GBV prevention and response, social protection, safe spaces, referral pathways, essential services, and data-informed planning should be preserved.</w:t>
      </w:r>
    </w:p>
    <w:p>
      <w:pPr>
        <w:keepNext/>
        <w:spacing w:before="180" w:after="90" w:line="264" w:lineRule="auto"/>
        <w:jc w:val="both"/>
      </w:pPr>
      <w:r>
        <w:rPr>
          <w:rFonts w:ascii="Arial" w:hAnsi="Arial" w:cs="Arial"/>
          <w:b/>
          <w:bCs/>
          <w:sz w:val="20"/>
          <w:szCs w:val="20"/>
        </w:rPr>
        <w:t xml:space="preserve">Second, expressly harmonize implementation with existing frameworks.</w:t>
      </w:r>
    </w:p>
    <w:p>
      <w:pPr>
        <w:spacing w:before="0" w:after="140" w:line="264" w:lineRule="auto"/>
        <w:jc w:val="both"/>
      </w:pPr>
      <w:r>
        <w:rPr>
          <w:rFonts w:ascii="Arial" w:hAnsi="Arial" w:cs="Arial"/>
          <w:sz w:val="20"/>
          <w:szCs w:val="20"/>
        </w:rPr>
        <w:t xml:space="preserve">The bill should be reconciled with Republic Act No. 10121, the Magna Carta of Women, Republic Act No. 11332, the Local Government Code, and existing GAD planning and budgeting rules. The bill repeatedly refers to LGUs, barangays, local response systems, local monitoring, and local programming. To avoid institutional overlap, the Act should state that local implementation shall be integrated into existing LDRRM plans, local development plans, local health and social welfare systems, GAD plans and budgets, and barangay-level VAW and protection mechanisms, rather than creating a separate parallel compliance system.</w:t>
      </w:r>
    </w:p>
    <w:p>
      <w:pPr>
        <w:keepNext/>
        <w:spacing w:before="180" w:after="90" w:line="264" w:lineRule="auto"/>
        <w:jc w:val="both"/>
      </w:pPr>
      <w:r>
        <w:rPr>
          <w:rFonts w:ascii="Arial" w:hAnsi="Arial" w:cs="Arial"/>
          <w:b/>
          <w:bCs/>
          <w:sz w:val="20"/>
          <w:szCs w:val="20"/>
        </w:rPr>
        <w:t xml:space="preserve">Third, convert the sixty-day plan requirement into a phased implementation architecture.</w:t>
      </w:r>
    </w:p>
    <w:p>
      <w:pPr>
        <w:spacing w:before="0" w:after="140" w:line="264" w:lineRule="auto"/>
        <w:jc w:val="both"/>
      </w:pPr>
      <w:r>
        <w:rPr>
          <w:rFonts w:ascii="Arial" w:hAnsi="Arial" w:cs="Arial"/>
          <w:sz w:val="20"/>
          <w:szCs w:val="20"/>
        </w:rPr>
        <w:t xml:space="preserve">The requirement that every department or agency prepare a gender-responsive pandemic preparedness plan, manual, or protocol within sixty days may be workable for national agencies that can issue interim templates. It is not realistic for many LGUs and barangays that must consult stakeholders, map service gaps, assess evacuation and shelter capacity, review referral pathways, train frontliners, and align local budgets. ULAP recommends a sequence under which PCW, OCD, DILG, DSWD, DOH, and other lead agencies first issue national model protocols and minimum standards; LGUs then localize these through their LDRRMCs, GAD focal point systems, local health boards, local social welfare structures, and sanggunian processes within a reasonable transition period.</w:t>
      </w:r>
    </w:p>
    <w:p>
      <w:pPr>
        <w:keepNext/>
        <w:spacing w:before="180" w:after="90" w:line="264" w:lineRule="auto"/>
        <w:jc w:val="both"/>
      </w:pPr>
      <w:r>
        <w:rPr>
          <w:rFonts w:ascii="Arial" w:hAnsi="Arial" w:cs="Arial"/>
          <w:b/>
          <w:bCs/>
          <w:sz w:val="20"/>
          <w:szCs w:val="20"/>
        </w:rPr>
        <w:t xml:space="preserve">Fourth, make national funding and technical assistance a binding condition of expanded LGU duties.</w:t>
      </w:r>
    </w:p>
    <w:p>
      <w:pPr>
        <w:spacing w:before="0" w:after="140" w:line="264" w:lineRule="auto"/>
        <w:jc w:val="both"/>
      </w:pPr>
      <w:r>
        <w:rPr>
          <w:rFonts w:ascii="Arial" w:hAnsi="Arial" w:cs="Arial"/>
          <w:sz w:val="20"/>
          <w:szCs w:val="20"/>
        </w:rPr>
        <w:t xml:space="preserve">Section 20 is constructive because it states that DILG, with LGUs, shall be given appropriate and sufficient funding by the national government. That principle should be strengthened and reconciled with Section 22, which initially sources implementation from the Calamity Fund, GAD budgets, special health funds, and available appropriations. GAD budgets should not become the residual funding source for broad national mandates, nor should LDRRM funds be stretched beyond lawful disaster-risk reduction and emergency-response purposes. ULAP recommends a dedicated national support window for LGU capacity-building, training, safe spaces, data systems, referral pathway strengthening, and community engagement, with clear rules on allowable use of GAD and LDRRM funds.</w:t>
      </w:r>
    </w:p>
    <w:p>
      <w:pPr>
        <w:keepNext/>
        <w:spacing w:before="180" w:after="90" w:line="264" w:lineRule="auto"/>
        <w:jc w:val="both"/>
      </w:pPr>
      <w:r>
        <w:rPr>
          <w:rFonts w:ascii="Arial" w:hAnsi="Arial" w:cs="Arial"/>
          <w:b/>
          <w:bCs/>
          <w:sz w:val="20"/>
          <w:szCs w:val="20"/>
        </w:rPr>
        <w:t xml:space="preserve">Fifth, distinguish national standards from local operational responsibilities.</w:t>
      </w:r>
    </w:p>
    <w:p>
      <w:pPr>
        <w:spacing w:before="0" w:after="140" w:line="264" w:lineRule="auto"/>
        <w:jc w:val="both"/>
      </w:pPr>
      <w:r>
        <w:rPr>
          <w:rFonts w:ascii="Arial" w:hAnsi="Arial" w:cs="Arial"/>
          <w:sz w:val="20"/>
          <w:szCs w:val="20"/>
        </w:rPr>
        <w:t xml:space="preserve">ULAP supports the availability of GBV services, temporary shelters, psychosocial services, legal aid, SRHR services, safe transportation, community information systems, and social protection. Statutory language requiring continuity of these services must recognize local capacity, geography, staffing, facility availability, and emergency conditions. National agencies should set standards, fund templates and training, provide surge support, and maintain referral networks, while LGUs localize and implement within available resources and risk conditions.</w:t>
      </w:r>
    </w:p>
    <w:p>
      <w:pPr>
        <w:keepNext/>
        <w:spacing w:before="180" w:after="90" w:line="264" w:lineRule="auto"/>
        <w:jc w:val="both"/>
      </w:pPr>
      <w:r>
        <w:rPr>
          <w:rFonts w:ascii="Arial" w:hAnsi="Arial" w:cs="Arial"/>
          <w:b/>
          <w:bCs/>
          <w:sz w:val="20"/>
          <w:szCs w:val="20"/>
        </w:rPr>
        <w:t xml:space="preserve">Sixth, include explicit privacy, confidentiality, and survivor-protection safeguards.</w:t>
      </w:r>
    </w:p>
    <w:p>
      <w:pPr>
        <w:spacing w:before="0" w:after="140" w:line="264" w:lineRule="auto"/>
        <w:jc w:val="both"/>
      </w:pPr>
      <w:r>
        <w:rPr>
          <w:rFonts w:ascii="Arial" w:hAnsi="Arial" w:cs="Arial"/>
          <w:sz w:val="20"/>
          <w:szCs w:val="20"/>
        </w:rPr>
        <w:t xml:space="preserve">These safeguards should govern data gathering, registries, reporting, and technology-enabled communication systems. Sex-disaggregated data and GBV incidence data are essential for policy, but they can also expose survivors and at-risk persons if handled poorly. ULAP recommends language requiring compliance with the Data Privacy Act, survivor-centered confidentiality, minimum necessary data collection, secure inter-agency sharing, and de-identified public reporting. Barangay-level and community-level data systems should be simple, secure, and supported by national templates.</w:t>
      </w:r>
    </w:p>
    <w:p>
      <w:pPr>
        <w:keepNext/>
        <w:spacing w:before="180" w:after="90" w:line="264" w:lineRule="auto"/>
        <w:jc w:val="both"/>
      </w:pPr>
      <w:r>
        <w:rPr>
          <w:rFonts w:ascii="Arial" w:hAnsi="Arial" w:cs="Arial"/>
          <w:b/>
          <w:bCs/>
          <w:sz w:val="20"/>
          <w:szCs w:val="20"/>
        </w:rPr>
        <w:t xml:space="preserve">Seventh, expressly include ULAP and the LGU leagues in implementation design.</w:t>
      </w:r>
    </w:p>
    <w:p>
      <w:pPr>
        <w:spacing w:before="0" w:after="140" w:line="264" w:lineRule="auto"/>
        <w:jc w:val="both"/>
      </w:pPr>
      <w:r>
        <w:rPr>
          <w:rFonts w:ascii="Arial" w:hAnsi="Arial" w:cs="Arial"/>
          <w:sz w:val="20"/>
          <w:szCs w:val="20"/>
        </w:rPr>
        <w:t xml:space="preserve">ULAP and the relevant LGU leagues should be named in the formulation of the implementing rules, national preparedness and response program, local capacity-building design, and reporting templates. Section 25 lists many national agencies and stakeholders, but it does not expressly name ULAP or the LGU league structure. Because the bill assigns substantial operational roles to LGUs and barangays, the IRR should be co-designed with local government representatives to ensure that rules are administratively feasible, fiscally realistic, and responsive to differences among provinces, cities, municipalities, and barangays.</w:t>
      </w:r>
    </w:p>
    <w:p>
      <w:pPr>
        <w:keepNext/>
        <w:spacing w:before="180" w:after="90" w:line="264" w:lineRule="auto"/>
        <w:jc w:val="both"/>
      </w:pPr>
      <w:r>
        <w:rPr>
          <w:rFonts w:ascii="Arial" w:hAnsi="Arial" w:cs="Arial"/>
          <w:b/>
          <w:bCs/>
          <w:sz w:val="20"/>
          <w:szCs w:val="20"/>
        </w:rPr>
        <w:t xml:space="preserve">Eighth, clarify and phase in the forty percent women's representation requirement.</w:t>
      </w:r>
    </w:p>
    <w:p>
      <w:pPr>
        <w:spacing w:before="0" w:after="140" w:line="264" w:lineRule="auto"/>
        <w:jc w:val="both"/>
      </w:pPr>
      <w:r>
        <w:rPr>
          <w:rFonts w:ascii="Arial" w:hAnsi="Arial" w:cs="Arial"/>
          <w:sz w:val="20"/>
          <w:szCs w:val="20"/>
        </w:rPr>
        <w:t xml:space="preserve">The proposed forty percent representation requirement for women in all development councils should be clarified. ULAP supports stronger women's participation in local decision-making. Development councils, however, have statutory composition rules and sectoral-representation processes that cannot be overridden without clear transition rules, appointment guidance, and safeguards against invalidating existing council actions. The bill should specify how the representation target will be operationalized across regional, provincial, city, municipal, and barangay levels, including whether it applies to membership, sectoral representatives, committees, or consultative bodies.</w:t>
      </w:r>
    </w:p>
    <w:p>
      <w:pPr>
        <w:keepNext/>
        <w:spacing w:before="180" w:after="90" w:line="264" w:lineRule="auto"/>
        <w:jc w:val="both"/>
      </w:pPr>
      <w:r>
        <w:rPr>
          <w:rFonts w:ascii="Arial" w:hAnsi="Arial" w:cs="Arial"/>
          <w:b/>
          <w:bCs/>
          <w:sz w:val="20"/>
          <w:szCs w:val="20"/>
        </w:rPr>
        <w:t xml:space="preserve">Ninth, calibrate the penalty clause to culpable neglect.</w:t>
      </w:r>
    </w:p>
    <w:p>
      <w:pPr>
        <w:spacing w:before="0" w:after="140" w:line="264" w:lineRule="auto"/>
        <w:jc w:val="both"/>
      </w:pPr>
      <w:r>
        <w:rPr>
          <w:rFonts w:ascii="Arial" w:hAnsi="Arial" w:cs="Arial"/>
          <w:sz w:val="20"/>
          <w:szCs w:val="20"/>
        </w:rPr>
        <w:t xml:space="preserve">Section 23 would impose administrative liability on public officers, employees, agencies, or private individuals who fail to perform duties under the Act, with possible legal remedies where damage or injury results. Accountability is appropriate for willful refusal, discrimination, concealment, abuse, or bad-faith neglect. The bill should nevertheless distinguish culpable neglect from failure caused by absence of appropriations, facility destruction, degraded communications, unavailable national templates, unresolved inter-agency referrals, or emergency conditions beyond the control of local officers.</w:t>
      </w:r>
    </w:p>
    <w:p>
      <w:pPr>
        <w:keepNext/>
        <w:spacing w:before="180" w:after="90" w:line="264" w:lineRule="auto"/>
        <w:jc w:val="both"/>
      </w:pPr>
      <w:r>
        <w:rPr>
          <w:rFonts w:ascii="Arial" w:hAnsi="Arial" w:cs="Arial"/>
          <w:b/>
          <w:bCs/>
          <w:sz w:val="20"/>
          <w:szCs w:val="20"/>
        </w:rPr>
        <w:t xml:space="preserve">Tenth, require a practical monitoring and review system that captures gaps without multiplying reports.</w:t>
      </w:r>
    </w:p>
    <w:p>
      <w:pPr>
        <w:spacing w:before="0" w:after="140" w:line="264" w:lineRule="auto"/>
        <w:jc w:val="both"/>
      </w:pPr>
      <w:r>
        <w:rPr>
          <w:rFonts w:ascii="Arial" w:hAnsi="Arial" w:cs="Arial"/>
          <w:sz w:val="20"/>
          <w:szCs w:val="20"/>
        </w:rPr>
        <w:t xml:space="preserve">The Joint Congressional Oversight Committee and the national program under Section 19 can be useful if they receive comparable data from national agencies and LGUs. ULAP recommends one standard reporting template, jointly developed by PCW, NDRRMC, DILG, DSWD, DOH, NPC, and ULAP, that records local protocol adoption, trained personnel, service continuity gaps, GBV referral capacity, data-protection safeguards, funding support received, and unresolved implementation barriers.</w:t>
      </w:r>
    </w:p>
    <w:p>
      <w:pPr>
        <w:keepNext/>
        <w:spacing w:before="220" w:after="100" w:line="264" w:lineRule="auto"/>
        <w:jc w:val="left"/>
      </w:pPr>
      <w:r>
        <w:rPr>
          <w:rFonts w:ascii="Arial" w:hAnsi="Arial" w:cs="Arial"/>
          <w:b/>
          <w:bCs/>
          <w:sz w:val="20"/>
          <w:szCs w:val="20"/>
        </w:rPr>
        <w:t xml:space="preserve">ULAP Position</w:t>
      </w:r>
    </w:p>
    <w:p>
      <w:pPr>
        <w:spacing w:before="0" w:after="140" w:line="264" w:lineRule="auto"/>
        <w:jc w:val="both"/>
      </w:pPr>
      <w:r>
        <w:rPr>
          <w:rFonts w:ascii="Arial" w:hAnsi="Arial" w:cs="Arial"/>
          <w:sz w:val="20"/>
          <w:szCs w:val="20"/>
        </w:rPr>
        <w:t xml:space="preserve">ULAP supports the passage of the measure subject to amendments that: (1) harmonize the bill with existing DRRM, GAD, health, privacy, social welfare, and local government frameworks; (2) preserve LGU autonomy and local decision-space; (3) provide national funding and technical assistance for expanded local duties; (4) phase in local protocol development through model standards and templates; (5) protect survivor confidentiality and personal data; (6) include ULAP and the LGU leagues in the IRR and implementation design; and (7) calibrate accountability provisions to culpable neglect rather than unfunded incapacity.</w:t>
      </w:r>
    </w:p>
    <w:p>
      <w:pPr>
        <w:spacing w:before="160" w:after="160" w:line="264" w:lineRule="auto"/>
        <w:jc w:val="center"/>
      </w:pPr>
      <w:r>
        <w:rPr>
          <w:rFonts w:ascii="Arial" w:hAnsi="Arial" w:cs="Arial"/>
          <w:b/>
          <w:bCs/>
          <w:i/>
          <w:iCs/>
          <w:sz w:val="22"/>
          <w:szCs w:val="22"/>
        </w:rPr>
        <w:t xml:space="preserve"> </w:t>
      </w:r>
      <w:r>
        <w:rPr>
          <w:rFonts w:ascii="Arial" w:hAnsi="Arial" w:cs="Arial"/>
          <w:b/>
          <w:bCs/>
          <w:sz w:val="22"/>
          <w:szCs w:val="22"/>
        </w:rPr>
        <w:t xml:space="preserve"> *</w:t>
      </w:r>
    </w:p>
    <w:p>
      <w:pPr>
        <w:spacing w:before="0" w:after="140" w:line="264" w:lineRule="auto"/>
        <w:jc w:val="both"/>
      </w:pPr>
      <w:r>
        <w:rPr>
          <w:rFonts w:ascii="Arial" w:hAnsi="Arial" w:cs="Arial"/>
          <w:sz w:val="20"/>
          <w:szCs w:val="20"/>
        </w:rPr>
        <w:t xml:space="preserve">ULAP stands ready to work with the House of Representatives, PCW, NDRRMC, DILG, DSWD, DOH, CHR, concerned national agencies, women's organizations, and the LGU leagues to refine the measure into an implementation-ready law. The strongest version of the bill protects women and at-risk groups during emergencies while equipping local governments with the authority, funding, standards, and institutional support needed to make those protections real in every province, city, municipality, and barangay.</w:t>
      </w:r>
    </w:p>
    <w:sectPr>
      <w:headerReference r:id="rId6" w:type="first"/>
      <w:footerReference r:id="rId7" w:type="first"/>
      <w:headerReference r:id="rId8" w:type="default"/>
      <w:footerReference r:id="rId9" w:type="default"/>
      <w:pgSz w:h="16838" w:w="11906" w:orient="portrait"/>
      <w:pgMar w:bottom="2160" w:top="1440" w:left="1440" w:right="1440" w:header="720" w:footer="576"/>
      <w:pgNumType w:start="1"/>
      <w:titlePg/>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-962024</wp:posOffset>
          </wp:positionH>
          <wp:positionV relativeFrom="paragraph">
            <wp:posOffset>205787</wp:posOffset>
          </wp:positionV>
          <wp:extent cx="7762875" cy="933877"/>
          <wp:effectExtent b="0" l="0" r="0" t="0"/>
          <wp:wrapNone/>
          <wp:docPr id="2" name="image1.png"/>
          <a:graphic>
            <a:graphicData uri="http://schemas.openxmlformats.org/drawingml/2006/picture">
              <pic:pic>
                <pic:nvPicPr>
                  <pic:cNvPr id="0" name="image1.png"/>
                  <pic:cNvPicPr preferRelativeResize="0"/>
                </pic:nvPicPr>
                <pic:blipFill>
                  <a:blip r:embed="rId1"/>
                  <a:srcRect b="0" l="0" r="0" t="63954"/>
                  <a:stretch>
                    <a:fillRect/>
                  </a:stretch>
                </pic:blipFill>
                <pic:spPr>
                  <a:xfrm>
                    <a:off x="0" y="0"/>
                    <a:ext cx="7762875" cy="933877"/>
                  </a:xfrm>
                  <a:prstGeom prst="rect"/>
                  <a:ln/>
                </pic:spPr>
              </pic:pic>
            </a:graphicData>
          </a:graphic>
        </wp:anchor>
      </w:drawing>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ftr>
</file>

<file path=word/footer2.xml><?xml version="1.0" encoding="utf-8"?>
<w:ftr xmlns:w="http://schemas.openxmlformats.org/wordprocessingml/2006/main">
  <w:p>
    <w:pPr>
      <w:pStyle w:val="Footer"/>
    </w:pP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2">
    <w:pPr>
      <w:tabs>
        <w:tab w:val="center" w:leader="none" w:pos="4680"/>
        <w:tab w:val="right" w:leader="none" w:pos="9360"/>
        <w:tab w:val="right" w:leader="none" w:pos="10184"/>
      </w:tabs>
      <w:spacing w:line="240" w:lineRule="auto"/>
      <w:jc w:val="center"/>
      <w:rPr>
        <w:sz w:val="7"/>
        <w:szCs w:val="7"/>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-1105632</wp:posOffset>
              </wp:positionH>
              <wp:positionV relativeFrom="paragraph">
                <wp:posOffset>-457199</wp:posOffset>
              </wp:positionV>
              <wp:extent cx="8249383" cy="1671638"/>
              <wp:effectExtent b="0" l="0" r="0" t="0"/>
              <wp:wrapSquare wrapText="bothSides" distB="0" distT="0" distL="114300" distR="114300"/>
              <wp:docPr id="1" name=""/>
              <a:graphic>
                <a:graphicData uri="http://schemas.microsoft.com/office/word/2010/wordprocessingGroup">
                  <wpg:wgp>
                    <wpg:cNvGrpSpPr/>
                    <wpg:grpSpPr>
                      <a:xfrm>
                        <a:off x="1414075" y="2974800"/>
                        <a:ext cx="8249383" cy="1671638"/>
                        <a:chOff x="1414075" y="2974800"/>
                        <a:chExt cx="7863850" cy="1610400"/>
                      </a:xfrm>
                    </wpg:grpSpPr>
                    <wpg:grpSp>
                      <wpg:cNvGrpSpPr/>
                      <wpg:grpSpPr>
                        <a:xfrm>
                          <a:off x="1414080" y="2974820"/>
                          <a:ext cx="7863840" cy="1610360"/>
                          <a:chOff x="1414075" y="2974800"/>
                          <a:chExt cx="7863850" cy="1610400"/>
                        </a:xfrm>
                      </wpg:grpSpPr>
                      <wps:wsp>
                        <wps:cNvSpPr/>
                        <wps:cNvPr id="3" name="Shape 3"/>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1414075" y="2974800"/>
                            <a:chExt cx="7863850" cy="1610400"/>
                          </a:xfrm>
                        </wpg:grpSpPr>
                        <wps:wsp>
                          <wps:cNvSpPr/>
                          <wps:cNvPr id="5" name="Shape 5"/>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1414075" y="2974800"/>
                              <a:chExt cx="7863850" cy="1610400"/>
                            </a:xfrm>
                          </wpg:grpSpPr>
                          <wps:wsp>
                            <wps:cNvSpPr/>
                            <wps:cNvPr id="7" name="Shape 7"/>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1414075" y="2974800"/>
                                <a:chExt cx="7863850" cy="1610400"/>
                              </a:xfrm>
                            </wpg:grpSpPr>
                            <wps:wsp>
                              <wps:cNvSpPr/>
                              <wps:cNvPr id="9" name="Shape 9"/>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0" y="0"/>
                                  <a:chExt cx="7863840" cy="1610360"/>
                                </a:xfrm>
                              </wpg:grpSpPr>
                              <wps:wsp>
                                <wps:cNvSpPr/>
                                <wps:cNvPr id="11" name="Shape 11"/>
                                <wps:spPr>
                                  <a:xfrm>
                                    <a:off x="0" y="0"/>
                                    <a:ext cx="7863825" cy="1610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A picture containing icon  Description automatically generated" id="12" name="Shape 12"/>
                                  <pic:cNvPicPr preferRelativeResize="0"/>
                                </pic:nvPicPr>
                                <pic:blipFill rotWithShape="1">
                                  <a:blip r:embed="rId1">
                                    <a:alphaModFix amt="50000"/>
                                  </a:blip>
                                  <a:srcRect b="0" l="0" r="0" t="0"/>
                                  <a:stretch/>
                                </pic:blipFill>
                                <pic:spPr>
                                  <a:xfrm flipH="1">
                                    <a:off x="95250" y="228600"/>
                                    <a:ext cx="7767955" cy="1247775"/>
                                  </a:xfrm>
                                  <a:prstGeom prst="rect">
                                    <a:avLst/>
                                  </a:prstGeom>
                                  <a:noFill/>
                                  <a:ln>
                                    <a:noFill/>
                                  </a:ln>
                                </pic:spPr>
                              </pic:pic>
                              <pic:pic>
                                <pic:nvPicPr>
                                  <pic:cNvPr descr="A picture containing icon  Description automatically generated" id="13" name="Shape 13"/>
                                  <pic:cNvPicPr preferRelativeResize="0"/>
                                </pic:nvPicPr>
                                <pic:blipFill rotWithShape="1">
                                  <a:blip r:embed="rId1">
                                    <a:alphaModFix amt="50000"/>
                                  </a:blip>
                                  <a:srcRect b="0" l="0" r="39356" t="0"/>
                                  <a:stretch/>
                                </pic:blipFill>
                                <pic:spPr>
                                  <a:xfrm>
                                    <a:off x="95250" y="222250"/>
                                    <a:ext cx="4705350" cy="1247775"/>
                                  </a:xfrm>
                                  <a:prstGeom prst="rect">
                                    <a:avLst/>
                                  </a:prstGeom>
                                  <a:noFill/>
                                  <a:ln>
                                    <a:noFill/>
                                  </a:ln>
                                </pic:spPr>
                              </pic:pic>
                              <pic:pic>
                                <pic:nvPicPr>
                                  <pic:cNvPr id="14" name="Shape 14"/>
                                  <pic:cNvPicPr preferRelativeResize="0"/>
                                </pic:nvPicPr>
                                <pic:blipFill rotWithShape="1">
                                  <a:blip r:embed="rId2">
                                    <a:alphaModFix/>
                                  </a:blip>
                                  <a:srcRect b="29036" l="0" r="0" t="2914"/>
                                  <a:stretch/>
                                </pic:blipFill>
                                <pic:spPr>
                                  <a:xfrm>
                                    <a:off x="990600" y="590550"/>
                                    <a:ext cx="5943600" cy="1019810"/>
                                  </a:xfrm>
                                  <a:prstGeom prst="rect">
                                    <a:avLst/>
                                  </a:prstGeom>
                                  <a:noFill/>
                                  <a:ln>
                                    <a:noFill/>
                                  </a:ln>
                                </pic:spPr>
                              </pic:pic>
                              <pic:pic>
                                <pic:nvPicPr>
                                  <pic:cNvPr descr="Background pattern  Description automatically generated" id="15" name="Shape 15"/>
                                  <pic:cNvPicPr preferRelativeResize="0"/>
                                </pic:nvPicPr>
                                <pic:blipFill rotWithShape="1">
                                  <a:blip r:embed="rId3">
                                    <a:alphaModFix/>
                                  </a:blip>
                                  <a:srcRect b="0" l="0" r="0" t="0"/>
                                  <a:stretch/>
                                </pic:blipFill>
                                <pic:spPr>
                                  <a:xfrm>
                                    <a:off x="0" y="0"/>
                                    <a:ext cx="7863840" cy="396875"/>
                                  </a:xfrm>
                                  <a:prstGeom prst="rect">
                                    <a:avLst/>
                                  </a:prstGeom>
                                  <a:noFill/>
                                  <a:ln>
                                    <a:noFill/>
                                  </a:ln>
                                </pic:spPr>
                              </pic:pic>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-1105632</wp:posOffset>
              </wp:positionH>
              <wp:positionV relativeFrom="paragraph">
                <wp:posOffset>-457199</wp:posOffset>
              </wp:positionV>
              <wp:extent cx="8249383" cy="1671638"/>
              <wp:effectExtent b="0" l="0" r="0" t="0"/>
              <wp:wrapSquare wrapText="bothSides" distB="0" distT="0" distL="114300" distR="114300"/>
              <wp:docPr id="1" name="image2.png"/>
              <a:graphic>
                <a:graphicData uri="http://schemas.openxmlformats.org/drawingml/2006/picture">
                  <pic:pic>
                    <pic:nvPicPr>
                      <pic:cNvPr id="0" name="image2.png"/>
                      <pic:cNvPicPr preferRelativeResize="0"/>
                    </pic:nvPicPr>
                    <pic:blipFill>
                      <a:blip r:embed="rId4"/>
                      <a:srcRect/>
                      <a:stretch>
                        <a:fillRect/>
                      </a:stretch>
                    </pic:blipFill>
                    <pic:spPr>
                      <a:xfrm>
                        <a:off x="0" y="0"/>
                        <a:ext cx="8249383" cy="1671638"/>
                      </a:xfrm>
                      <a:prstGeom prst="rect"/>
                      <a:ln/>
                    </pic:spPr>
                  </pic:pic>
                </a:graphicData>
              </a:graphic>
            </wp:anchor>
          </w:drawing>
        </mc:Fallback>
      </mc:AlternateContent>
    </w:r>
  </w:p>
  <w:p w:rsidR="00000000" w:rsidDel="00000000" w:rsidP="00000000" w:rsidRDefault="00000000" w:rsidRPr="00000000" w14:paraId="00000003">
    <w:pPr>
      <w:tabs>
        <w:tab w:val="center" w:leader="none" w:pos="4680"/>
        <w:tab w:val="right" w:leader="none" w:pos="9360"/>
        <w:tab w:val="right" w:leader="none" w:pos="10184"/>
      </w:tabs>
      <w:spacing w:line="240" w:lineRule="auto"/>
      <w:jc w:val="center"/>
      <w:rPr>
        <w:sz w:val="16"/>
        <w:szCs w:val="16"/>
      </w:rPr>
    </w:pPr>
    <w:r w:rsidDel="00000000" w:rsidR="00000000" w:rsidRPr="00000000">
      <w:rPr>
        <w:sz w:val="16"/>
        <w:szCs w:val="16"/>
        <w:rtl w:val="0"/>
      </w:rPr>
      <w:t xml:space="preserve">28F Unit 2803 Summit One Tower 530 Shaw Boulevard, Mandaluyong City</w:t>
    </w:r>
  </w:p>
  <w:p w:rsidR="00000000" w:rsidDel="00000000" w:rsidP="00000000" w:rsidRDefault="00000000" w:rsidRPr="00000000" w14:paraId="00000004">
    <w:pPr>
      <w:tabs>
        <w:tab w:val="center" w:leader="none" w:pos="4680"/>
        <w:tab w:val="right" w:leader="none" w:pos="9360"/>
      </w:tabs>
      <w:spacing w:line="240" w:lineRule="auto"/>
      <w:jc w:val="center"/>
      <w:rPr>
        <w:sz w:val="16"/>
        <w:szCs w:val="16"/>
      </w:rPr>
    </w:pPr>
    <w:r w:rsidDel="00000000" w:rsidR="00000000" w:rsidRPr="00000000">
      <w:rPr>
        <w:b w:val="1"/>
        <w:bCs w:val="1"/>
        <w:sz w:val="16"/>
        <w:szCs w:val="16"/>
        <w:rtl w:val="0"/>
      </w:rPr>
      <w:t xml:space="preserve">Phone: </w:t>
    </w:r>
    <w:r w:rsidDel="00000000" w:rsidR="00000000" w:rsidRPr="00000000">
      <w:rPr>
        <w:sz w:val="16"/>
        <w:szCs w:val="16"/>
        <w:rtl w:val="0"/>
      </w:rPr>
      <w:t xml:space="preserve">(+63) 9189856659 </w:t>
    </w:r>
    <w:r w:rsidDel="00000000" w:rsidR="00000000" w:rsidRPr="00000000">
      <w:rPr>
        <w:b w:val="1"/>
        <w:bCs w:val="1"/>
        <w:sz w:val="16"/>
        <w:szCs w:val="16"/>
        <w:rtl w:val="0"/>
      </w:rPr>
      <w:t xml:space="preserve">E-Mail:</w:t>
    </w:r>
    <w:r w:rsidDel="00000000" w:rsidR="00000000" w:rsidRPr="00000000">
      <w:rPr>
        <w:sz w:val="16"/>
        <w:szCs w:val="16"/>
        <w:rtl w:val="0"/>
      </w:rPr>
      <w:t xml:space="preserve"> </w:t>
    </w:r>
    <w:hyperlink r:id="rId5">
      <w:r w:rsidDel="00000000" w:rsidR="00000000" w:rsidRPr="00000000">
        <w:rPr>
          <w:color w:val="0563c1"/>
          <w:sz w:val="16"/>
          <w:szCs w:val="16"/>
          <w:u w:val="single"/>
          <w:rtl w:val="0"/>
        </w:rPr>
        <w:t xml:space="preserve">ulapnatsec@gmail.com</w:t>
      </w:r>
    </w:hyperlink>
    <w:r w:rsidDel="00000000" w:rsidR="00000000" w:rsidRPr="00000000">
      <w:rPr>
        <w:sz w:val="16"/>
        <w:szCs w:val="16"/>
        <w:rtl w:val="0"/>
      </w:rPr>
      <w:t xml:space="preserve">, </w:t>
    </w:r>
    <w:hyperlink r:id="rId6">
      <w:r w:rsidDel="00000000" w:rsidR="00000000" w:rsidRPr="00000000">
        <w:rPr>
          <w:color w:val="0563c1"/>
          <w:sz w:val="16"/>
          <w:szCs w:val="16"/>
          <w:u w:val="single"/>
          <w:rtl w:val="0"/>
        </w:rPr>
        <w:t xml:space="preserve">secretariat@ulap.net.ph</w:t>
      </w:r>
    </w:hyperlink>
    <w:r w:rsidDel="00000000" w:rsidR="00000000" w:rsidRPr="00000000">
      <w:rPr>
        <w:rtl w:val="0"/>
      </w:rPr>
    </w:r>
  </w:p>
  <w:p w:rsidR="00000000" w:rsidDel="00000000" w:rsidP="00000000" w:rsidRDefault="00000000" w:rsidRPr="00000000" w14:paraId="00000005">
    <w:pPr>
      <w:tabs>
        <w:tab w:val="center" w:leader="none" w:pos="4680"/>
        <w:tab w:val="right" w:leader="none" w:pos="9360"/>
      </w:tabs>
      <w:spacing w:line="240" w:lineRule="auto"/>
      <w:jc w:val="center"/>
      <w:rPr>
        <w:sz w:val="16"/>
        <w:szCs w:val="16"/>
      </w:rPr>
    </w:pPr>
    <w:r w:rsidDel="00000000" w:rsidR="00000000" w:rsidRPr="00000000">
      <w:rPr>
        <w:b w:val="1"/>
        <w:bCs w:val="1"/>
        <w:sz w:val="16"/>
        <w:szCs w:val="16"/>
        <w:rtl w:val="0"/>
      </w:rPr>
      <w:t xml:space="preserve">Website:</w:t>
    </w:r>
    <w:r w:rsidDel="00000000" w:rsidR="00000000" w:rsidRPr="00000000">
      <w:rPr>
        <w:sz w:val="16"/>
        <w:szCs w:val="16"/>
        <w:rtl w:val="0"/>
      </w:rPr>
      <w:t xml:space="preserve"> </w:t>
    </w:r>
    <w:hyperlink r:id="rId7">
      <w:r w:rsidDel="00000000" w:rsidR="00000000" w:rsidRPr="00000000">
        <w:rPr>
          <w:color w:val="0563c1"/>
          <w:sz w:val="16"/>
          <w:szCs w:val="16"/>
          <w:u w:val="single"/>
          <w:rtl w:val="0"/>
        </w:rPr>
        <w:t xml:space="preserve">www.ulap.net.ph</w:t>
      </w:r>
    </w:hyperlink>
    <w:r w:rsidDel="00000000" w:rsidR="00000000" w:rsidRPr="00000000">
      <w:rPr>
        <w:sz w:val="16"/>
        <w:szCs w:val="16"/>
        <w:rtl w:val="0"/>
      </w:rPr>
      <w:t xml:space="preserve"> </w:t>
    </w:r>
    <w:r w:rsidDel="00000000" w:rsidR="00000000" w:rsidRPr="00000000">
      <w:rPr>
        <w:b w:val="1"/>
        <w:bCs w:val="1"/>
        <w:sz w:val="16"/>
        <w:szCs w:val="16"/>
        <w:rtl w:val="0"/>
      </w:rPr>
      <w:t xml:space="preserve">Facebook:</w:t>
    </w:r>
    <w:r w:rsidDel="00000000" w:rsidR="00000000" w:rsidRPr="00000000">
      <w:rPr>
        <w:sz w:val="16"/>
        <w:szCs w:val="16"/>
        <w:rtl w:val="0"/>
      </w:rPr>
      <w:t xml:space="preserve"> </w:t>
    </w:r>
    <w:hyperlink r:id="rId8">
      <w:r w:rsidDel="00000000" w:rsidR="00000000" w:rsidRPr="00000000">
        <w:rPr>
          <w:color w:val="0563c1"/>
          <w:sz w:val="16"/>
          <w:szCs w:val="16"/>
          <w:u w:val="single"/>
          <w:rtl w:val="0"/>
        </w:rPr>
        <w:t xml:space="preserve">www.facebook.com/ulap.net.ph</w:t>
      </w:r>
    </w:hyperlink>
    <w:r w:rsidDel="00000000" w:rsidR="00000000" w:rsidRPr="00000000">
      <w:rPr>
        <w:sz w:val="16"/>
        <w:szCs w:val="16"/>
        <w:rtl w:val="0"/>
      </w:rPr>
      <w:t xml:space="preserve"> </w:t>
    </w:r>
  </w:p>
  <w:p w:rsidR="00000000" w:rsidDel="00000000" w:rsidP="00000000" w:rsidRDefault="00000000" w:rsidRPr="00000000" w14:paraId="00000006">
    <w:pPr>
      <w:pBdr>
        <w:bottom w:color="000000" w:space="1" w:sz="6" w:val="single"/>
      </w:pBdr>
      <w:tabs>
        <w:tab w:val="center" w:leader="none" w:pos="4680"/>
        <w:tab w:val="right" w:leader="none" w:pos="9360"/>
      </w:tabs>
      <w:spacing w:line="240" w:lineRule="auto"/>
      <w:ind w:left="-1134" w:right="-1097" w:firstLine="0"/>
      <w:rPr>
        <w:b w:val="1"/>
        <w:bCs w:val="1"/>
        <w:color w:val="002060"/>
        <w:sz w:val="15"/>
        <w:szCs w:val="15"/>
      </w:rPr>
    </w:pPr>
    <w:r w:rsidDel="00000000" w:rsidR="00000000" w:rsidRPr="00000000">
      <w:rPr>
        <w:rtl w:val="0"/>
      </w:rPr>
    </w:r>
  </w:p>
  <w:p w:rsidR="00000000" w:rsidDel="00000000" w:rsidP="00000000" w:rsidRDefault="00000000" w:rsidRPr="00000000" w14:paraId="00000007">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hdr>
</file>

<file path=word/header2.xml><?xml version="1.0" encoding="utf-8"?>
<w:hdr xmlns:w="http://schemas.openxmlformats.org/wordprocessingml/2006/main">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s>
</file>

<file path=word/_rels/footer1.xml.rels><?xml version="1.0" encoding="UTF-8"?><Relationships xmlns="http://schemas.openxmlformats.org/package/2006/relationships"><Relationship Id="rId1" Type="http://schemas.openxmlformats.org/officeDocument/2006/relationships/image" Target="media/image1.png"/></Relationships>
</file>

<file path=word/_rels/header1.xml.rels><?xml version="1.0" encoding="UTF-8"?><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 Id="rId3" Type="http://schemas.openxmlformats.org/officeDocument/2006/relationships/image" Target="media/image5.jpg"/><Relationship Id="rId4" Type="http://schemas.openxmlformats.org/officeDocument/2006/relationships/image" Target="media/image2.png"/><Relationship Id="rId5" Type="http://schemas.openxmlformats.org/officeDocument/2006/relationships/hyperlink" Target="about:blank" TargetMode="External"/><Relationship Id="rId6" Type="http://schemas.openxmlformats.org/officeDocument/2006/relationships/hyperlink" Target="about:blank" TargetMode="External"/><Relationship Id="rId7" Type="http://schemas.openxmlformats.org/officeDocument/2006/relationships/hyperlink" Target="about:blank" TargetMode="External"/><Relationship Id="rId8" Type="http://schemas.openxmlformats.org/officeDocument/2006/relationships/hyperlink" Target="about:bla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