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 / OFFICIAL INPUT</w:t>
      </w:r>
    </w:p>
    <w:p>
      <w:pPr>
        <w:spacing w:before="40" w:after="200" w:line="264" w:lineRule="auto"/>
        <w:jc w:val="center"/>
      </w:pPr>
      <w:r>
        <w:rPr>
          <w:rFonts w:ascii="Arial" w:hAnsi="Arial" w:cs="Arial"/>
          <w:b/>
          <w:bCs/>
          <w:sz w:val="24"/>
          <w:szCs w:val="24"/>
        </w:rPr>
        <w:t xml:space="preserve">ECOSOC AND HLPF REVIEW: RETENTION OF LOCAL AND REGIONAL GOVERNMENTS FORUM LANGUAGE</w:t>
      </w:r>
    </w:p>
    <w:p>
      <w:pPr>
        <w:keepNext/>
        <w:spacing w:before="220" w:after="100" w:line="264" w:lineRule="auto"/>
        <w:jc w:val="left"/>
      </w:pPr>
      <w:r>
        <w:rPr>
          <w:rFonts w:ascii="Arial" w:hAnsi="Arial" w:cs="Arial"/>
          <w:b/>
          <w:bCs/>
          <w:sz w:val="20"/>
          <w:szCs w:val="20"/>
        </w:rPr>
        <w:t xml:space="preserve">Requested Action</w:t>
      </w:r>
    </w:p>
    <w:p>
      <w:pPr>
        <w:spacing w:before="0" w:after="140" w:line="264" w:lineRule="auto"/>
        <w:jc w:val="both"/>
      </w:pPr>
      <w:r>
        <w:rPr>
          <w:rFonts w:ascii="Arial" w:hAnsi="Arial" w:cs="Arial"/>
          <w:sz w:val="20"/>
          <w:szCs w:val="20"/>
        </w:rPr>
        <w:t xml:space="preserve">The Union of Local Authorities of the Philippines supports the retention of operative language in the ongoing General Assembly review of ECOSOC and the High-Level Political Forum on Sustainable Development that recognizes the Local and Regional Governments Forum and calls for its oral presentation to the HLPF. ULAP is prepared to convey this position, through the appropriate Philippine channels, to the Department of Foreign Affairs, the Philippine Permanent Mission to the United Nations, and UCLG counterparts as negotiations continue.</w:t>
      </w:r>
    </w:p>
    <w:p>
      <w:pPr>
        <w:keepNext/>
        <w:spacing w:before="220" w:after="100" w:line="264" w:lineRule="auto"/>
        <w:jc w:val="left"/>
      </w:pPr>
      <w:r>
        <w:rPr>
          <w:rFonts w:ascii="Arial" w:hAnsi="Arial" w:cs="Arial"/>
          <w:b/>
          <w:bCs/>
          <w:sz w:val="20"/>
          <w:szCs w:val="20"/>
        </w:rPr>
        <w:t xml:space="preserve">Position</w:t>
      </w:r>
    </w:p>
    <w:p>
      <w:pPr>
        <w:spacing w:before="0" w:after="140" w:line="264" w:lineRule="auto"/>
        <w:jc w:val="both"/>
      </w:pPr>
      <w:r>
        <w:rPr>
          <w:rFonts w:ascii="Arial" w:hAnsi="Arial" w:cs="Arial"/>
          <w:sz w:val="20"/>
          <w:szCs w:val="20"/>
        </w:rPr>
        <w:t xml:space="preserve">ULAP recommends support for the current formulation flagged by UCLG, particularly the sentence: "In this context, calls for an oral presentation on the Local and Regional Governments Forum to be presented to the high-level political forum." This wording is modest, implementation-focused, and consistent with the existing role of local and regional governments in SDG localization. It does not alter the intergovernmental character of the United Nations, and it does not create NGO-type prerogatives. It recognizes that local governments are public authorities with direct responsibility for implementing many SDG-relevant services and for producing local evidence that national governments use in planning, reporting, and delivery.</w:t>
      </w:r>
    </w:p>
    <w:p>
      <w:pPr>
        <w:keepNext/>
        <w:spacing w:before="220" w:after="100" w:line="264" w:lineRule="auto"/>
        <w:jc w:val="left"/>
      </w:pPr>
      <w:r>
        <w:rPr>
          <w:rFonts w:ascii="Arial" w:hAnsi="Arial" w:cs="Arial"/>
          <w:b/>
          <w:bCs/>
          <w:sz w:val="20"/>
          <w:szCs w:val="20"/>
        </w:rPr>
        <w:t xml:space="preserve">Background</w:t>
      </w:r>
    </w:p>
    <w:p>
      <w:pPr>
        <w:spacing w:before="0" w:after="140" w:line="264" w:lineRule="auto"/>
        <w:jc w:val="both"/>
      </w:pPr>
      <w:r>
        <w:rPr>
          <w:rFonts w:ascii="Arial" w:hAnsi="Arial" w:cs="Arial"/>
          <w:sz w:val="20"/>
          <w:szCs w:val="20"/>
        </w:rPr>
        <w:t xml:space="preserve">On 3 June 2026, UCLG Secretary General Emilia Saiz circulated a FOR ACTION update to the UCLG Presidency regarding the live negotiations on the ECOSOC and HLPF review. The update states that the second draft under discussion retains a reference to SDG localization and the Local and Regional Governments Forum, but that an alternative formulation proposed by G77 and China would weaken that progress. UCLG requested continued engagement with Ministries of Foreign Affairs and Permanent Missions to the United Nations to preserve the relevant wording in operative paragraph 14.</w:t>
      </w:r>
    </w:p>
    <w:p>
      <w:pPr>
        <w:spacing w:before="0" w:after="140" w:line="264" w:lineRule="auto"/>
        <w:jc w:val="both"/>
      </w:pPr>
      <w:r>
        <w:rPr>
          <w:rFonts w:ascii="Arial" w:hAnsi="Arial" w:cs="Arial"/>
          <w:sz w:val="20"/>
          <w:szCs w:val="20"/>
        </w:rPr>
        <w:t xml:space="preserve">The materials reviewed for this input include the UCLG and Global Taskforce wording inputs, the 9 April 2026 zero draft transmitted by the Permanent Missions of Barbados and Malta as co-facilitators, and prior ULAP materials on Philippine participation in the HLPF. The zero draft already recognizes local action, local reviews of progress, and the continuing involvement of local governments in the HLPF. The UCLG inputs seek to consolidate these references into a more predictable and structured mechanism for the Local and Regional Governments Forum within the ECOSOC and HLPF cycle.</w:t>
      </w:r>
    </w:p>
    <w:p>
      <w:pPr>
        <w:keepNext/>
        <w:spacing w:before="220" w:after="100" w:line="264" w:lineRule="auto"/>
        <w:jc w:val="left"/>
      </w:pPr>
      <w:r>
        <w:rPr>
          <w:rFonts w:ascii="Arial" w:hAnsi="Arial" w:cs="Arial"/>
          <w:b/>
          <w:bCs/>
          <w:sz w:val="20"/>
          <w:szCs w:val="20"/>
        </w:rPr>
        <w:t xml:space="preserve">ULAP Analysis</w:t>
      </w:r>
    </w:p>
    <w:p>
      <w:pPr>
        <w:spacing w:before="0" w:after="140" w:line="264" w:lineRule="auto"/>
        <w:jc w:val="both"/>
      </w:pPr>
      <w:r>
        <w:rPr>
          <w:rFonts w:ascii="Arial" w:hAnsi="Arial" w:cs="Arial"/>
          <w:sz w:val="20"/>
          <w:szCs w:val="20"/>
        </w:rPr>
        <w:t xml:space="preserve">First, the issue is directly relevant to ULAP because the Philippines implements the SDGs through a devolved governance system. Provincial, city, municipal, and barangay governments deliver frontline functions in health, social welfare, disaster risk reduction, local economic development, environmental management, planning, and community-level service delivery. A global HLPF process that recognizes local implementation evidence gives national governments a more complete view of whether SDG commitments are reaching communities.</w:t>
      </w:r>
    </w:p>
    <w:p>
      <w:pPr>
        <w:spacing w:before="0" w:after="140" w:line="264" w:lineRule="auto"/>
        <w:jc w:val="both"/>
      </w:pPr>
      <w:r>
        <w:rPr>
          <w:rFonts w:ascii="Arial" w:hAnsi="Arial" w:cs="Arial"/>
          <w:sz w:val="20"/>
          <w:szCs w:val="20"/>
        </w:rPr>
        <w:t xml:space="preserve">Second, the proposed language is protective of the role of Member States. The operative wording does not transfer decision-making authority to local governments. It creates space for an oral presentation on the Local and Regional Governments Forum, allowing local government constituencies to report implementation experience, local challenges, and practical lessons. This strengthens, rather than dilutes, the ability of national governments to make evidence-based decisions.</w:t>
      </w:r>
    </w:p>
    <w:p>
      <w:pPr>
        <w:spacing w:before="0" w:after="140" w:line="264" w:lineRule="auto"/>
        <w:jc w:val="both"/>
      </w:pPr>
      <w:r>
        <w:rPr>
          <w:rFonts w:ascii="Arial" w:hAnsi="Arial" w:cs="Arial"/>
          <w:sz w:val="20"/>
          <w:szCs w:val="20"/>
        </w:rPr>
        <w:t xml:space="preserve">Third, structured local government engagement is especially important for countries with devolved or decentralized functions. In the Philippines, the Local Government Code and the post-Mandanas/Garcia fiscal and functional environment underscore the need for clear national-local coordination. National commitments on the SDGs, climate resilience, public health, disaster risk reduction, food security, and local economic development cannot be implemented through national agencies alone. The HLPF should therefore continue to receive organized local implementation inputs that are relevant to national planning and reporting.</w:t>
      </w:r>
    </w:p>
    <w:p>
      <w:pPr>
        <w:spacing w:before="0" w:after="140" w:line="264" w:lineRule="auto"/>
        <w:jc w:val="both"/>
      </w:pPr>
      <w:r>
        <w:rPr>
          <w:rFonts w:ascii="Arial" w:hAnsi="Arial" w:cs="Arial"/>
          <w:sz w:val="20"/>
          <w:szCs w:val="20"/>
        </w:rPr>
        <w:t xml:space="preserve">Fourth, the current language is diplomatically balanced. It recognizes local and regional governments without framing them as substitutes for Member States, without requiring new accreditation architecture, and without prejudging future institutional design. It is a practical minimum position that can be supported even by delegations concerned about expanding participation beyond intergovernmental channels.</w:t>
      </w:r>
    </w:p>
    <w:p>
      <w:pPr>
        <w:keepNext/>
        <w:spacing w:before="220" w:after="100" w:line="264" w:lineRule="auto"/>
        <w:jc w:val="left"/>
      </w:pPr>
      <w:r>
        <w:rPr>
          <w:rFonts w:ascii="Arial" w:hAnsi="Arial" w:cs="Arial"/>
          <w:b/>
          <w:bCs/>
          <w:sz w:val="20"/>
          <w:szCs w:val="20"/>
        </w:rPr>
        <w:t xml:space="preserve">ULAP Position</w:t>
      </w:r>
    </w:p>
    <w:p>
      <w:pPr>
        <w:spacing w:before="0" w:after="140" w:line="264" w:lineRule="auto"/>
        <w:jc w:val="both"/>
      </w:pPr>
      <w:r>
        <w:rPr>
          <w:rFonts w:ascii="Arial" w:hAnsi="Arial" w:cs="Arial"/>
          <w:sz w:val="20"/>
          <w:szCs w:val="20"/>
        </w:rPr>
        <w:t xml:space="preserve">- Support the retention of operative paragraph 14 language calling for an oral presentation on the Local and Regional Governments Forum to the HLPF.</w:t>
      </w:r>
    </w:p>
    <w:p>
      <w:pPr>
        <w:spacing w:before="0" w:after="140" w:line="264" w:lineRule="auto"/>
        <w:jc w:val="both"/>
      </w:pPr>
      <w:r>
        <w:rPr>
          <w:rFonts w:ascii="Arial" w:hAnsi="Arial" w:cs="Arial"/>
          <w:sz w:val="20"/>
          <w:szCs w:val="20"/>
        </w:rPr>
        <w:t xml:space="preserve">- Clarify in any communication that local and regional governments are public authorities and implementation partners, not non-governmental actors seeking expanded NGO prerogatives.</w:t>
      </w:r>
    </w:p>
    <w:p>
      <w:pPr>
        <w:spacing w:before="0" w:after="140" w:line="264" w:lineRule="auto"/>
        <w:jc w:val="both"/>
      </w:pPr>
      <w:r>
        <w:rPr>
          <w:rFonts w:ascii="Arial" w:hAnsi="Arial" w:cs="Arial"/>
          <w:sz w:val="20"/>
          <w:szCs w:val="20"/>
        </w:rPr>
        <w:t xml:space="preserve">- Encourage Philippine diplomatic channels to support language that recognizes SDG localization, voluntary local reviews or local reviews of progress, and multilevel governance evidence in the HLPF cycle.</w:t>
      </w:r>
    </w:p>
    <w:p>
      <w:pPr>
        <w:spacing w:before="0" w:after="140" w:line="264" w:lineRule="auto"/>
        <w:jc w:val="both"/>
      </w:pPr>
      <w:r>
        <w:rPr>
          <w:rFonts w:ascii="Arial" w:hAnsi="Arial" w:cs="Arial"/>
          <w:sz w:val="20"/>
          <w:szCs w:val="20"/>
        </w:rPr>
        <w:t xml:space="preserve">- Align the Philippine position with the country's own devolution context, including the need for national-local coordination in achieving SDG targets and reporting implementation outcomes.</w:t>
      </w:r>
    </w:p>
    <w:p>
      <w:pPr>
        <w:spacing w:before="0" w:after="140" w:line="264" w:lineRule="auto"/>
        <w:jc w:val="both"/>
      </w:pPr>
      <w:r>
        <w:rPr>
          <w:rFonts w:ascii="Arial" w:hAnsi="Arial" w:cs="Arial"/>
          <w:sz w:val="20"/>
          <w:szCs w:val="20"/>
        </w:rPr>
        <w:t xml:space="preserve">- Coordinate with UCLG, UCLG ASPAC, the Global Taskforce of Local and Regional Governments, DILG, NEDA, and DFA to ensure that ULAP inputs are technically consistent and diplomatically useful.</w:t>
      </w:r>
    </w:p>
    <w:p>
      <w:pPr>
        <w:keepNext/>
        <w:spacing w:before="220" w:after="100" w:line="264" w:lineRule="auto"/>
        <w:jc w:val="left"/>
      </w:pPr>
      <w:r>
        <w:rPr>
          <w:rFonts w:ascii="Arial" w:hAnsi="Arial" w:cs="Arial"/>
          <w:b/>
          <w:bCs/>
          <w:sz w:val="20"/>
          <w:szCs w:val="20"/>
        </w:rPr>
        <w:t xml:space="preserve">Suggested Messaging for Philippine Channels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ULAP respectfully supports the retention of language in the ECOSOC and HLPF review recognizing the Local and Regional Governments Forum and calling for its oral presentation to the HLPF. The proposed language is consistent with SDG localization and with the practical reality that many SDG outcomes depend on local government implementation. It preserves the intergovernmental nature of the United Nations while enabling Member States to receive implementation evidence from public authorities operating closest to communities.</w:t>
      </w:r>
    </w:p>
    <w:p>
      <w:pPr>
        <w:spacing w:before="0" w:after="140" w:line="264" w:lineRule="auto"/>
        <w:jc w:val="both"/>
      </w:pPr>
      <w:r>
        <w:rPr>
          <w:rFonts w:ascii="Arial" w:hAnsi="Arial" w:cs="Arial"/>
          <w:sz w:val="20"/>
          <w:szCs w:val="20"/>
        </w:rPr>
        <w:t xml:space="preserve">ULAP further recommends that any reference to local and regional governments be framed as a structured multilevel governance contribution. This framing addresses concerns that local government engagement could be confused with non-governmental stakeholder participation. Local governments are elected or public authorities within national constitutional and legal systems. Their participation in the HLPF process should therefore be understood as support to Member State implementation, not as a parallel decision-making channel.</w:t>
      </w:r>
    </w:p>
    <w:p>
      <w:pPr>
        <w:keepNext/>
        <w:spacing w:before="220" w:after="100" w:line="264" w:lineRule="auto"/>
        <w:jc w:val="left"/>
      </w:pPr>
      <w:r>
        <w:rPr>
          <w:rFonts w:ascii="Arial" w:hAnsi="Arial" w:cs="Arial"/>
          <w:b/>
          <w:bCs/>
          <w:sz w:val="20"/>
          <w:szCs w:val="20"/>
        </w:rPr>
        <w:t xml:space="preserve">Implementation Steps</w:t>
      </w:r>
    </w:p>
    <w:p>
      <w:pPr>
        <w:spacing w:before="0" w:after="140" w:line="264" w:lineRule="auto"/>
        <w:jc w:val="both"/>
      </w:pPr>
      <w:r>
        <w:rPr>
          <w:rFonts w:ascii="Arial" w:hAnsi="Arial" w:cs="Arial"/>
          <w:sz w:val="20"/>
          <w:szCs w:val="20"/>
        </w:rPr>
        <w:t xml:space="preserve">- Transmit this position, once cleared by ULAP leadership, to DFA and/or the Philippine Permanent Mission to the United Nations for consideration in the ongoing negotiations.</w:t>
      </w:r>
    </w:p>
    <w:p>
      <w:pPr>
        <w:spacing w:before="0" w:after="140" w:line="264" w:lineRule="auto"/>
        <w:jc w:val="both"/>
      </w:pPr>
      <w:r>
        <w:rPr>
          <w:rFonts w:ascii="Arial" w:hAnsi="Arial" w:cs="Arial"/>
          <w:sz w:val="20"/>
          <w:szCs w:val="20"/>
        </w:rPr>
        <w:t xml:space="preserve">- Inform UCLG and UCLG ASPAC that ULAP supports retention of the operative paragraph 14 formulation and is prepared to provide Philippine local governance context if needed.</w:t>
      </w:r>
    </w:p>
    <w:p>
      <w:pPr>
        <w:spacing w:before="0" w:after="140" w:line="264" w:lineRule="auto"/>
        <w:jc w:val="both"/>
      </w:pPr>
      <w:r>
        <w:rPr>
          <w:rFonts w:ascii="Arial" w:hAnsi="Arial" w:cs="Arial"/>
          <w:sz w:val="20"/>
          <w:szCs w:val="20"/>
        </w:rPr>
        <w:t xml:space="preserve">- Prepare a short companion talking-point note for any outreach to DFA, DILG, NEDA, or the Philippine Mission, focused on the distinction between local governments as public authorities and NGOs as non-state actors.</w:t>
      </w:r>
    </w:p>
    <w:p>
      <w:pPr>
        <w:spacing w:before="0" w:after="140" w:line="264" w:lineRule="auto"/>
        <w:jc w:val="both"/>
      </w:pPr>
      <w:r>
        <w:rPr>
          <w:rFonts w:ascii="Arial" w:hAnsi="Arial" w:cs="Arial"/>
          <w:sz w:val="20"/>
          <w:szCs w:val="20"/>
        </w:rPr>
        <w:t xml:space="preserve">- Monitor subsequent negotiation drafts for any deletion, dilution, or narrowing of the Local and Regional Governments Forum reference.</w:t>
      </w:r>
    </w:p>
    <w:p>
      <w:pPr>
        <w:keepNext/>
        <w:spacing w:before="220" w:after="100" w:line="264" w:lineRule="auto"/>
        <w:jc w:val="left"/>
      </w:pPr>
      <w:r>
        <w:rPr>
          <w:rFonts w:ascii="Arial" w:hAnsi="Arial" w:cs="Arial"/>
          <w:b/>
          <w:bCs/>
          <w:sz w:val="20"/>
          <w:szCs w:val="20"/>
        </w:rPr>
        <w:t xml:space="preserve">Safeguards and Clarifications</w:t>
      </w:r>
    </w:p>
    <w:p>
      <w:pPr>
        <w:spacing w:before="0" w:after="140" w:line="264" w:lineRule="auto"/>
        <w:jc w:val="both"/>
      </w:pPr>
      <w:r>
        <w:rPr>
          <w:rFonts w:ascii="Arial" w:hAnsi="Arial" w:cs="Arial"/>
          <w:sz w:val="20"/>
          <w:szCs w:val="20"/>
        </w:rPr>
        <w:t xml:space="preserve">ULAP avoids language that could be read as seeking a voting role, decision-making authority, or separate treaty-level standing for local governments in the United Nations. The recommended position is strongest when it is framed as implementation evidence, structured consultation, and multilevel policy feedback to strengthen Member State delivery of the 2030 Agenda.</w:t>
      </w:r>
    </w:p>
    <w:p>
      <w:pPr>
        <w:spacing w:before="0" w:after="140" w:line="264" w:lineRule="auto"/>
        <w:jc w:val="both"/>
      </w:pPr>
      <w:r>
        <w:rPr>
          <w:rFonts w:ascii="Arial" w:hAnsi="Arial" w:cs="Arial"/>
          <w:sz w:val="20"/>
          <w:szCs w:val="20"/>
        </w:rPr>
        <w:t xml:space="preserve">ULAP also emphasizes that the Philippine local government sector has practical experience to contribute on SDG localization, local planning and budgeting, disaster risk reduction, climate resilience, public health, local economic development, and community-based monitoring. These inputs can improve HLPF deliberations without expanding the formal rights of non-state actors.</w:t>
      </w:r>
    </w:p>
    <w:p>
      <w:pPr>
        <w:keepNext/>
        <w:spacing w:before="220" w:after="100" w:line="264" w:lineRule="auto"/>
        <w:jc w:val="left"/>
      </w:pPr>
      <w:r>
        <w:rPr>
          <w:rFonts w:ascii="Arial" w:hAnsi="Arial" w:cs="Arial"/>
          <w:b/>
          <w:bCs/>
          <w:sz w:val="20"/>
          <w:szCs w:val="20"/>
        </w:rPr>
        <w:t xml:space="preserve">Sources Reviewed</w:t>
      </w:r>
    </w:p>
    <w:p>
      <w:pPr>
        <w:spacing w:before="0" w:after="140" w:line="264" w:lineRule="auto"/>
        <w:jc w:val="both"/>
      </w:pPr>
      <w:r>
        <w:rPr>
          <w:rFonts w:ascii="Arial" w:hAnsi="Arial" w:cs="Arial"/>
          <w:sz w:val="20"/>
          <w:szCs w:val="20"/>
        </w:rPr>
        <w:t xml:space="preserve">- UCLG email thread from Emilia Saiz dated 3 June 2026, including earlier updates dated 9 March and 8 May 2026, requesting action from the UCLG Presidency on ECOSOC and HLPF review negotiations.</w:t>
      </w:r>
    </w:p>
    <w:p>
      <w:pPr>
        <w:spacing w:before="0" w:after="140" w:line="264" w:lineRule="auto"/>
        <w:jc w:val="both"/>
      </w:pPr>
      <w:r>
        <w:rPr>
          <w:rFonts w:ascii="Arial" w:hAnsi="Arial" w:cs="Arial"/>
          <w:sz w:val="20"/>
          <w:szCs w:val="20"/>
        </w:rPr>
        <w:t xml:space="preserve">- UCLG and Global Taskforce wording inputs to the General Assembly review of ECOSOC and HLPF, proposing structured engagement for local and regional governments through ECOSOC, HLPF, and UNACLA.</w:t>
      </w:r>
    </w:p>
    <w:p>
      <w:pPr>
        <w:spacing w:before="0" w:after="140" w:line="264" w:lineRule="auto"/>
        <w:jc w:val="both"/>
      </w:pPr>
      <w:r>
        <w:rPr>
          <w:rFonts w:ascii="Arial" w:hAnsi="Arial" w:cs="Arial"/>
          <w:sz w:val="20"/>
          <w:szCs w:val="20"/>
        </w:rPr>
        <w:t xml:space="preserve">- Zero draft of the General Assembly review of ECOSOC and HLPF dated 9 April 2026, transmitted by the Permanent Missions of Barbados and Malta as co-facilitators.</w:t>
      </w:r>
    </w:p>
    <w:p>
      <w:pPr>
        <w:spacing w:before="0" w:after="140" w:line="264" w:lineRule="auto"/>
        <w:jc w:val="both"/>
      </w:pPr>
      <w:r>
        <w:rPr>
          <w:rFonts w:ascii="Arial" w:hAnsi="Arial" w:cs="Arial"/>
          <w:sz w:val="20"/>
          <w:szCs w:val="20"/>
        </w:rPr>
        <w:t xml:space="preserve">- ULAP prior HLPF materials, including the 2025 HLPF delegation letter and briefer identifying the HLPF as the central UN platform for follow-up and review of the 2030 Agenda and noting Philippine interest in SDG localization.</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requested wording as a practical, balanced, and implementation-oriented recognition of local governments in the HLPF process. The position protects the prerogatives of Member States while ensuring that the local governments responsible for substantial SDG delivery can provide organized evidence, lessons, and recommendations that help national governments accelerate implementation before 2030.</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