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COMMENTS ON THE DRAFT UCLG ASPAC POSITION PAPER</w:t>
      </w:r>
    </w:p>
    <w:p>
      <w:pPr>
        <w:spacing w:before="40" w:after="200" w:line="264" w:lineRule="auto"/>
        <w:jc w:val="center"/>
      </w:pPr>
      <w:r>
        <w:rPr>
          <w:rFonts w:ascii="Arial" w:hAnsi="Arial" w:cs="Arial"/>
          <w:b/>
          <w:bCs/>
          <w:sz w:val="24"/>
          <w:szCs w:val="24"/>
        </w:rPr>
        <w:t xml:space="preserve">FOR THE UCLG WORLD CONGRESS 2026</w:t>
      </w:r>
    </w:p>
    <w:p>
      <w:pPr>
        <w:spacing w:before="0" w:after="140" w:line="264" w:lineRule="auto"/>
        <w:jc w:val="both"/>
      </w:pPr>
      <w:r>
        <w:rPr>
          <w:rFonts w:ascii="Arial" w:hAnsi="Arial" w:cs="Arial"/>
          <w:sz w:val="20"/>
          <w:szCs w:val="20"/>
        </w:rPr>
        <w:t xml:space="preserve">7 June 2026</w:t>
      </w:r>
    </w:p>
    <w:p>
      <w:pPr>
        <w:spacing w:before="0" w:after="140" w:line="264" w:lineRule="auto"/>
        <w:jc w:val="both"/>
      </w:pPr>
      <w:r>
        <w:rPr>
          <w:rFonts w:ascii="Arial" w:hAnsi="Arial" w:cs="Arial"/>
          <w:sz w:val="20"/>
          <w:szCs w:val="20"/>
        </w:rPr>
        <w:t xml:space="preserve">To: Dr. Bernadia Irawati Tjandradewi, Secretary General, UCLG ASPAC</w:t>
      </w:r>
    </w:p>
    <w:p>
      <w:pPr>
        <w:spacing w:before="0" w:after="140" w:line="264" w:lineRule="auto"/>
        <w:jc w:val="both"/>
      </w:pPr>
      <w:r>
        <w:rPr>
          <w:rFonts w:ascii="Arial" w:hAnsi="Arial" w:cs="Arial"/>
          <w:sz w:val="20"/>
          <w:szCs w:val="20"/>
        </w:rPr>
        <w:t xml:space="preserve">Through: UCLG ASPAC Secretariat</w:t>
      </w:r>
    </w:p>
    <w:p>
      <w:pPr>
        <w:spacing w:before="0" w:after="140" w:line="264" w:lineRule="auto"/>
        <w:jc w:val="both"/>
      </w:pPr>
      <w:r>
        <w:rPr>
          <w:rFonts w:ascii="Arial" w:hAnsi="Arial" w:cs="Arial"/>
          <w:sz w:val="20"/>
          <w:szCs w:val="20"/>
        </w:rPr>
        <w:t xml:space="preserve">Subject: Feedback on the Draft Asia-Pacific Assembly Track Position Paper for the UCLG World Congress 2026</w:t>
      </w:r>
    </w:p>
    <w:p>
      <w:pPr>
        <w:keepNext/>
        <w:spacing w:before="220" w:after="100" w:line="264" w:lineRule="auto"/>
        <w:jc w:val="left"/>
      </w:pPr>
      <w:r>
        <w:rPr>
          <w:rFonts w:ascii="Arial" w:hAnsi="Arial" w:cs="Arial"/>
          <w:b/>
          <w:bCs/>
          <w:sz w:val="20"/>
          <w:szCs w:val="20"/>
        </w:rPr>
        <w:t xml:space="preserve">I. Overall Position</w:t>
      </w:r>
    </w:p>
    <w:p>
      <w:pPr>
        <w:spacing w:before="0" w:after="140" w:line="264" w:lineRule="auto"/>
        <w:jc w:val="both"/>
      </w:pPr>
      <w:r>
        <w:rPr>
          <w:rFonts w:ascii="Arial" w:hAnsi="Arial" w:cs="Arial"/>
          <w:sz w:val="20"/>
          <w:szCs w:val="20"/>
        </w:rPr>
        <w:t xml:space="preserve">The Union of Local Authorities of the Philippines (ULAP) welcomes the opportunity to comment on the Draft Asia-Pacific Assembly Track Position Paper for the UCLG World Congress 2026. ULAP supports the draft's central proposition that local and regional governments are not merely implementation arms of national policy but strategic public institutions whose mandates, proximity to communities, and accountability relationships are essential to sustainable development, climate resilience, inclusive public service delivery, and democratic local governance.</w:t>
      </w:r>
    </w:p>
    <w:p>
      <w:pPr>
        <w:spacing w:before="0" w:after="140" w:line="264" w:lineRule="auto"/>
        <w:jc w:val="both"/>
      </w:pPr>
      <w:r>
        <w:rPr>
          <w:rFonts w:ascii="Arial" w:hAnsi="Arial" w:cs="Arial"/>
          <w:sz w:val="20"/>
          <w:szCs w:val="20"/>
        </w:rPr>
        <w:t xml:space="preserve">ULAP also welcomes the draft's framing of the Asia-Pacific as a diverse and fast-changing regional community facing concurrent pressures: climate change and disaster risk, demographic transition, rapid digitalization, economic restructuring, infrastructure needs, social inclusion challenges, and uneven access to development and climate finance. Local governments experience these pressures directly. Meeting them requires national, regional, and global frameworks that recognize local autonomy, provide predictable financing, build institutional capacity, and respect the differentiated realities of provinces, cities, municipalities, and other subnational governments.</w:t>
      </w:r>
    </w:p>
    <w:p>
      <w:pPr>
        <w:spacing w:before="0" w:after="140" w:line="264" w:lineRule="auto"/>
        <w:jc w:val="both"/>
      </w:pPr>
      <w:r>
        <w:rPr>
          <w:rFonts w:ascii="Arial" w:hAnsi="Arial" w:cs="Arial"/>
          <w:sz w:val="20"/>
          <w:szCs w:val="20"/>
        </w:rPr>
        <w:t xml:space="preserve">Subject to the refinements below, ULAP supports the adoption of a strong UCLG ASPAC position for the Congress. The paper should be sharpened to make clear that meaningful localization depends on empowered local governments, transparent multilevel governance, and implementation arrangements feasible for both metropolitan and non-metropolitan territories, including island, coastal, rural, and disaster-prone communities.</w:t>
      </w:r>
    </w:p>
    <w:p>
      <w:pPr>
        <w:keepNext/>
        <w:spacing w:before="220" w:after="100" w:line="264" w:lineRule="auto"/>
        <w:jc w:val="left"/>
      </w:pPr>
      <w:r>
        <w:rPr>
          <w:rFonts w:ascii="Arial" w:hAnsi="Arial" w:cs="Arial"/>
          <w:b/>
          <w:bCs/>
          <w:sz w:val="20"/>
          <w:szCs w:val="20"/>
        </w:rPr>
        <w:t xml:space="preserve">II. Comments on the Draft Position Paper</w:t>
      </w:r>
    </w:p>
    <w:p>
      <w:pPr>
        <w:spacing w:before="0" w:after="140" w:line="264" w:lineRule="auto"/>
        <w:jc w:val="both"/>
      </w:pPr>
      <w:r>
        <w:rPr>
          <w:rFonts w:ascii="Arial" w:hAnsi="Arial" w:cs="Arial"/>
          <w:sz w:val="20"/>
          <w:szCs w:val="20"/>
        </w:rPr>
        <w:t xml:space="preserve">The draft already identifies several priorities consistent with ULAP's policy interests and with the practical responsibilities of Philippine local governments. ULAP supports the emphasis on fiscal empowerment, direct access to climate and development finance, locally led climate resilience and disaster risk reduction, inclusive digital governance, equitable local economic development, sustainable infrastructure and basic services, social inclusion, public health, cultural rights, and city diplomacy or decentralized cooperation.</w:t>
      </w:r>
    </w:p>
    <w:p>
      <w:pPr>
        <w:spacing w:before="0" w:after="140" w:line="264" w:lineRule="auto"/>
        <w:jc w:val="both"/>
      </w:pPr>
      <w:r>
        <w:rPr>
          <w:rFonts w:ascii="Arial" w:hAnsi="Arial" w:cs="Arial"/>
          <w:sz w:val="20"/>
          <w:szCs w:val="20"/>
        </w:rPr>
        <w:t xml:space="preserve">The paper may be strengthened by making the following propositions more explicit:</w:t>
      </w:r>
    </w:p>
    <w:p>
      <w:pPr>
        <w:spacing w:before="0" w:after="140" w:line="264" w:lineRule="auto"/>
        <w:jc w:val="both"/>
      </w:pPr>
      <w:r>
        <w:rPr>
          <w:rFonts w:ascii="Arial" w:hAnsi="Arial" w:cs="Arial"/>
          <w:sz w:val="20"/>
          <w:szCs w:val="20"/>
        </w:rPr>
        <w:t xml:space="preserve">Local autonomy is a condition for effective localization. The paper should state that local governments must have sufficient authority, discretion, and institutional space to adapt global and regional agendas to local conditions, subject to national law, accountability, and public-interest safeguards.</w:t>
      </w:r>
    </w:p>
    <w:p>
      <w:pPr>
        <w:spacing w:before="0" w:after="140" w:line="264" w:lineRule="auto"/>
        <w:jc w:val="both"/>
      </w:pPr>
      <w:r>
        <w:rPr>
          <w:rFonts w:ascii="Arial" w:hAnsi="Arial" w:cs="Arial"/>
          <w:sz w:val="20"/>
          <w:szCs w:val="20"/>
        </w:rPr>
        <w:t xml:space="preserve">Fiscal decentralization and access to finance should be framed as implementation requirements rather than aspirations. Where local governments are expected to deliver climate action, public health, housing, mobility, digital services, and disaster resilience, the paper should call for predictable intergovernmental transfers, legally enabled local revenue tools, technical assistance, and accessible project-preparation support.</w:t>
      </w:r>
    </w:p>
    <w:p>
      <w:pPr>
        <w:spacing w:before="0" w:after="140" w:line="264" w:lineRule="auto"/>
        <w:jc w:val="both"/>
      </w:pPr>
      <w:r>
        <w:rPr>
          <w:rFonts w:ascii="Arial" w:hAnsi="Arial" w:cs="Arial"/>
          <w:sz w:val="20"/>
          <w:szCs w:val="20"/>
        </w:rPr>
        <w:t xml:space="preserve">Digital transformation should include safeguards. The draft's support for interoperable digital public infrastructure, open data, smart-city platforms, artificial intelligence, and digital literacy is welcome. It should also call for data protection, cybersecurity, ethical procurement, interoperability standards, open and accountable technology governance, and support for LGUs with weaker digital capacity.</w:t>
      </w:r>
    </w:p>
    <w:p>
      <w:pPr>
        <w:spacing w:before="0" w:after="140" w:line="264" w:lineRule="auto"/>
        <w:jc w:val="both"/>
      </w:pPr>
      <w:r>
        <w:rPr>
          <w:rFonts w:ascii="Arial" w:hAnsi="Arial" w:cs="Arial"/>
          <w:sz w:val="20"/>
          <w:szCs w:val="20"/>
        </w:rPr>
        <w:t xml:space="preserve">Climate resilience should give stronger recognition to island, coastal, archipelagic, and disaster-prone territories. For countries such as the Philippines, climate action is inseparable from disaster risk reduction, coastal resource governance, blue economy planning, resilient public infrastructure, and risk-informed land use and investment decisions.</w:t>
      </w:r>
    </w:p>
    <w:p>
      <w:pPr>
        <w:spacing w:before="0" w:after="140" w:line="264" w:lineRule="auto"/>
        <w:jc w:val="both"/>
      </w:pPr>
      <w:r>
        <w:rPr>
          <w:rFonts w:ascii="Arial" w:hAnsi="Arial" w:cs="Arial"/>
          <w:sz w:val="20"/>
          <w:szCs w:val="20"/>
        </w:rPr>
        <w:t xml:space="preserve">City diplomacy and decentralized cooperation should be described as complementary to national foreign policy and multilateral cooperation. Local governments can provide knowledge exchange, peer learning, solidarity, and practical implementation pathways while remaining anchored in national law, diplomatic coordination, transparency, and accountability.</w:t>
      </w:r>
    </w:p>
    <w:p>
      <w:pPr>
        <w:keepNext/>
        <w:spacing w:before="220" w:after="100" w:line="264" w:lineRule="auto"/>
        <w:jc w:val="left"/>
      </w:pPr>
      <w:r>
        <w:rPr>
          <w:rFonts w:ascii="Arial" w:hAnsi="Arial" w:cs="Arial"/>
          <w:b/>
          <w:bCs/>
          <w:sz w:val="20"/>
          <w:szCs w:val="20"/>
        </w:rPr>
        <w:t xml:space="preserve">III. Recommended Substantive Refinements</w:t>
      </w:r>
    </w:p>
    <w:p>
      <w:pPr>
        <w:keepNext/>
        <w:spacing w:before="180" w:after="90" w:line="264" w:lineRule="auto"/>
        <w:jc w:val="both"/>
      </w:pPr>
      <w:r>
        <w:rPr>
          <w:rFonts w:ascii="Arial" w:hAnsi="Arial" w:cs="Arial"/>
          <w:b/>
          <w:bCs/>
          <w:sz w:val="20"/>
          <w:szCs w:val="20"/>
        </w:rPr>
        <w:t xml:space="preserve">1. Strengthen the local autonomy language.</w:t>
      </w:r>
    </w:p>
    <w:p>
      <w:pPr>
        <w:spacing w:before="0" w:after="140" w:line="264" w:lineRule="auto"/>
        <w:jc w:val="both"/>
      </w:pPr>
      <w:r>
        <w:rPr>
          <w:rFonts w:ascii="Arial" w:hAnsi="Arial" w:cs="Arial"/>
          <w:sz w:val="20"/>
          <w:szCs w:val="20"/>
        </w:rPr>
        <w:t xml:space="preserve">ULAP recommends adding language recognizing that local and regional governments require protected decision space to localize the SDGs, the Paris Agreement, the New Urban Agenda, ASEAN Community Vision 2045, and related regional frameworks. The paper should avoid presenting LRGs only as delivery units. It should recognize them as elected and accountable public institutions with legal mandates, local knowledge, and responsibilities that vary across governance systems.</w:t>
      </w:r>
    </w:p>
    <w:p>
      <w:pPr>
        <w:keepNext/>
        <w:spacing w:before="180" w:after="90" w:line="264" w:lineRule="auto"/>
        <w:jc w:val="both"/>
      </w:pPr>
      <w:r>
        <w:rPr>
          <w:rFonts w:ascii="Arial" w:hAnsi="Arial" w:cs="Arial"/>
          <w:b/>
          <w:bCs/>
          <w:sz w:val="20"/>
          <w:szCs w:val="20"/>
        </w:rPr>
        <w:t xml:space="preserve">2. Clarify fiscal empowerment as a core demand.</w:t>
      </w:r>
    </w:p>
    <w:p>
      <w:pPr>
        <w:spacing w:before="0" w:after="140" w:line="264" w:lineRule="auto"/>
        <w:jc w:val="both"/>
      </w:pPr>
      <w:r>
        <w:rPr>
          <w:rFonts w:ascii="Arial" w:hAnsi="Arial" w:cs="Arial"/>
          <w:sz w:val="20"/>
          <w:szCs w:val="20"/>
        </w:rPr>
        <w:t xml:space="preserve">The draft correctly notes limited fiscal decentralization and restricted access to finance as structural barriers. ULAP urges that this become one of the strongest political messages of the paper. The UCLG ASPAC position should call for predictable national-local fiscal transfers, strengthened own-source revenue authority where appropriate, transparent fiscal assignment, access to concessional and climate finance, and technical support for bankable local projects. The paper should also recognize that project preparation, absorptive capacity, procurement readiness, and monitoring systems are practical constraints that must be financed.</w:t>
      </w:r>
    </w:p>
    <w:p>
      <w:pPr>
        <w:keepNext/>
        <w:spacing w:before="180" w:after="90" w:line="264" w:lineRule="auto"/>
        <w:jc w:val="both"/>
      </w:pPr>
      <w:r>
        <w:rPr>
          <w:rFonts w:ascii="Arial" w:hAnsi="Arial" w:cs="Arial"/>
          <w:b/>
          <w:bCs/>
          <w:sz w:val="20"/>
          <w:szCs w:val="20"/>
        </w:rPr>
        <w:t xml:space="preserve">3. Add an implementation safeguards paragraph for digital governance.</w:t>
      </w:r>
    </w:p>
    <w:p>
      <w:pPr>
        <w:spacing w:before="0" w:after="140" w:line="264" w:lineRule="auto"/>
        <w:jc w:val="both"/>
      </w:pPr>
      <w:r>
        <w:rPr>
          <w:rFonts w:ascii="Arial" w:hAnsi="Arial" w:cs="Arial"/>
          <w:sz w:val="20"/>
          <w:szCs w:val="20"/>
        </w:rPr>
        <w:t xml:space="preserve">ULAP supports inclusive digital governance and proposes a balanced formulation that promotes innovation while protecting citizens and local governments from poorly governed technology adoption. The paper should call for privacy protection, cybersecurity, accountable data-sharing, public procurement integrity, human capacity building, and digital inclusion for geographically isolated and disadvantaged areas. Digitalization should not become an unfunded compliance burden for smaller LGUs.</w:t>
      </w:r>
    </w:p>
    <w:p>
      <w:pPr>
        <w:keepNext/>
        <w:spacing w:before="180" w:after="90" w:line="264" w:lineRule="auto"/>
        <w:jc w:val="both"/>
      </w:pPr>
      <w:r>
        <w:rPr>
          <w:rFonts w:ascii="Arial" w:hAnsi="Arial" w:cs="Arial"/>
          <w:b/>
          <w:bCs/>
          <w:sz w:val="20"/>
          <w:szCs w:val="20"/>
        </w:rPr>
        <w:t xml:space="preserve">4. Reflect archipelagic and coastal priorities.</w:t>
      </w:r>
    </w:p>
    <w:p>
      <w:pPr>
        <w:spacing w:before="0" w:after="140" w:line="264" w:lineRule="auto"/>
        <w:jc w:val="both"/>
      </w:pPr>
      <w:r>
        <w:rPr>
          <w:rFonts w:ascii="Arial" w:hAnsi="Arial" w:cs="Arial"/>
          <w:sz w:val="20"/>
          <w:szCs w:val="20"/>
        </w:rPr>
        <w:t xml:space="preserve">The Asia-Pacific paper should more clearly recognize that resilience needs differ across territories. For Philippine LGUs, especially coastal and island communities, climate resilience includes disaster preparedness, integrated coastal management, fisheries and marine resource governance, resilient local infrastructure, safe settlement planning, livelihood continuity, and early warning systems. This lens would complement the draft's existing references to SIDS, flood risk, heat resilience, and climate justice.</w:t>
      </w:r>
    </w:p>
    <w:p>
      <w:pPr>
        <w:keepNext/>
        <w:spacing w:before="180" w:after="90" w:line="264" w:lineRule="auto"/>
        <w:jc w:val="both"/>
      </w:pPr>
      <w:r>
        <w:rPr>
          <w:rFonts w:ascii="Arial" w:hAnsi="Arial" w:cs="Arial"/>
          <w:b/>
          <w:bCs/>
          <w:sz w:val="20"/>
          <w:szCs w:val="20"/>
        </w:rPr>
        <w:t xml:space="preserve">5. Make infrastructure and basic services more implementation-focused.</w:t>
      </w:r>
    </w:p>
    <w:p>
      <w:pPr>
        <w:spacing w:before="0" w:after="140" w:line="264" w:lineRule="auto"/>
        <w:jc w:val="both"/>
      </w:pPr>
      <w:r>
        <w:rPr>
          <w:rFonts w:ascii="Arial" w:hAnsi="Arial" w:cs="Arial"/>
          <w:sz w:val="20"/>
          <w:szCs w:val="20"/>
        </w:rPr>
        <w:t xml:space="preserve">ULAP supports the paper's emphasis on housing, water and sanitation, mobility, renewable energy, waste management, and public health. These sectors should be connected to practical instruments: local development and land use planning, risk-informed infrastructure pipelines, public-private partnership safeguards, transparent procurement, lifecycle maintenance, and reliable operations funding. This helps avoid framing local infrastructure only as a capital investment issue.</w:t>
      </w:r>
    </w:p>
    <w:p>
      <w:pPr>
        <w:keepNext/>
        <w:spacing w:before="180" w:after="90" w:line="264" w:lineRule="auto"/>
        <w:jc w:val="both"/>
      </w:pPr>
      <w:r>
        <w:rPr>
          <w:rFonts w:ascii="Arial" w:hAnsi="Arial" w:cs="Arial"/>
          <w:b/>
          <w:bCs/>
          <w:sz w:val="20"/>
          <w:szCs w:val="20"/>
        </w:rPr>
        <w:t xml:space="preserve">6. Emphasize equitable local economic development.</w:t>
      </w:r>
    </w:p>
    <w:p>
      <w:pPr>
        <w:spacing w:before="0" w:after="140" w:line="264" w:lineRule="auto"/>
        <w:jc w:val="both"/>
      </w:pPr>
      <w:r>
        <w:rPr>
          <w:rFonts w:ascii="Arial" w:hAnsi="Arial" w:cs="Arial"/>
          <w:sz w:val="20"/>
          <w:szCs w:val="20"/>
        </w:rPr>
        <w:t xml:space="preserve">ULAP welcomes the references to MSMEs, green jobs, women-led enterprises, youth entrepreneurship, circular economy, sustainable tourism, and creative industries. These points gain force by noting that local economic development should be tied to skills development, local value chains, resilient livelihoods, investment facilitation, market access, and social protection for communities affected by climate and economic transition.</w:t>
      </w:r>
    </w:p>
    <w:p>
      <w:pPr>
        <w:keepNext/>
        <w:spacing w:before="180" w:after="90" w:line="264" w:lineRule="auto"/>
        <w:jc w:val="both"/>
      </w:pPr>
      <w:r>
        <w:rPr>
          <w:rFonts w:ascii="Arial" w:hAnsi="Arial" w:cs="Arial"/>
          <w:b/>
          <w:bCs/>
          <w:sz w:val="20"/>
          <w:szCs w:val="20"/>
        </w:rPr>
        <w:t xml:space="preserve">7. Clarify the role of culture and territorial identity.</w:t>
      </w:r>
    </w:p>
    <w:p>
      <w:pPr>
        <w:spacing w:before="0" w:after="140" w:line="264" w:lineRule="auto"/>
        <w:jc w:val="both"/>
      </w:pPr>
      <w:r>
        <w:rPr>
          <w:rFonts w:ascii="Arial" w:hAnsi="Arial" w:cs="Arial"/>
          <w:sz w:val="20"/>
          <w:szCs w:val="20"/>
        </w:rPr>
        <w:t xml:space="preserve">The draft's cultural rights section is a valuable addition. ULAP recommends linking cultural vitality to local planning, heritage-sensitive development, indigenous and community knowledge, disaster recovery, tourism governance, and public space. This framing keeps culture connected to resilience and inclusive local development rather than heritage preservation alone.</w:t>
      </w:r>
    </w:p>
    <w:p>
      <w:pPr>
        <w:keepNext/>
        <w:spacing w:before="180" w:after="90" w:line="264" w:lineRule="auto"/>
        <w:jc w:val="both"/>
      </w:pPr>
      <w:r>
        <w:rPr>
          <w:rFonts w:ascii="Arial" w:hAnsi="Arial" w:cs="Arial"/>
          <w:b/>
          <w:bCs/>
          <w:sz w:val="20"/>
          <w:szCs w:val="20"/>
        </w:rPr>
        <w:t xml:space="preserve">8. Strengthen multilevel governance commitments.</w:t>
      </w:r>
    </w:p>
    <w:p>
      <w:pPr>
        <w:spacing w:before="0" w:after="140" w:line="264" w:lineRule="auto"/>
        <w:jc w:val="both"/>
      </w:pPr>
      <w:r>
        <w:rPr>
          <w:rFonts w:ascii="Arial" w:hAnsi="Arial" w:cs="Arial"/>
          <w:sz w:val="20"/>
          <w:szCs w:val="20"/>
        </w:rPr>
        <w:t xml:space="preserve">The paper should specify that national governments, regional bodies, international financial institutions, development partners, and global networks should involve local governments early in agenda setting, financing design, project preparation, monitoring, and evaluation. Consultation after priorities and financing terms are already fixed is not sufficient for meaningful localization.</w:t>
      </w:r>
    </w:p>
    <w:p>
      <w:pPr>
        <w:keepNext/>
        <w:spacing w:before="220" w:after="100" w:line="264" w:lineRule="auto"/>
        <w:jc w:val="left"/>
      </w:pPr>
      <w:r>
        <w:rPr>
          <w:rFonts w:ascii="Arial" w:hAnsi="Arial" w:cs="Arial"/>
          <w:b/>
          <w:bCs/>
          <w:sz w:val="20"/>
          <w:szCs w:val="20"/>
        </w:rPr>
        <w:t xml:space="preserve">IV. Proposed Language for UCLG ASPAC Consideration</w:t>
      </w:r>
    </w:p>
    <w:p>
      <w:pPr>
        <w:spacing w:before="0" w:after="140" w:line="264" w:lineRule="auto"/>
        <w:jc w:val="both"/>
      </w:pPr>
      <w:r>
        <w:rPr>
          <w:rFonts w:ascii="Arial" w:hAnsi="Arial" w:cs="Arial"/>
          <w:sz w:val="20"/>
          <w:szCs w:val="20"/>
        </w:rPr>
        <w:t xml:space="preserve">ULAP respectfully suggests that UCLG ASPAC consider incorporating language substantially along the following lines:</w:t>
      </w:r>
    </w:p>
    <w:p>
      <w:pPr>
        <w:ind w:left="720" w:right="360"/>
        <w:spacing w:before="90" w:after="140" w:line="264" w:lineRule="auto"/>
        <w:jc w:val="both"/>
      </w:pPr>
      <w:r>
        <w:rPr>
          <w:rFonts w:ascii="Arial" w:hAnsi="Arial" w:cs="Arial"/>
          <w:b/>
          <w:bCs/>
          <w:sz w:val="20"/>
          <w:szCs w:val="20"/>
        </w:rPr>
        <w:t xml:space="preserve">Suggested language:</w:t>
      </w:r>
      <w:r>
        <w:rPr>
          <w:rFonts w:ascii="Arial" w:hAnsi="Arial" w:cs="Arial"/>
          <w:sz w:val="20"/>
          <w:szCs w:val="20"/>
        </w:rPr>
        <w:t xml:space="preserve"> </w:t>
      </w:r>
      <w:r>
        <w:rPr>
          <w:rFonts w:ascii="Arial" w:hAnsi="Arial" w:cs="Arial"/>
          <w:i/>
          <w:iCs/>
          <w:sz w:val="20"/>
          <w:szCs w:val="20"/>
        </w:rPr>
        <w:t xml:space="preserve">Local and regional governments in Asia-Pacific must be recognized as strategic, democratic, and accountable public institutions whose legal mandates, proximity to communities, and operational responsibilities are indispensable to the localization of global and regional agendas. Effective localization requires protected local decision space, predictable and adequate financing, transparent multilevel governance, and differentiated support for metropolitan, intermediary, rural, island, coastal, and disaster-prone territories.</w:t>
      </w:r>
    </w:p>
    <w:p>
      <w:pPr>
        <w:ind w:left="720" w:right="360"/>
        <w:spacing w:before="90" w:after="140" w:line="264" w:lineRule="auto"/>
        <w:jc w:val="both"/>
      </w:pPr>
      <w:r>
        <w:rPr>
          <w:rFonts w:ascii="Arial" w:hAnsi="Arial" w:cs="Arial"/>
          <w:i/>
          <w:iCs/>
          <w:sz w:val="20"/>
          <w:szCs w:val="20"/>
        </w:rPr>
        <w:t xml:space="preserve">Fiscal empowerment should be treated as an implementation condition. Local governments cannot be expected to deliver climate resilience, inclusive public services, sustainable infrastructure, public health, digital transformation, and social protection without appropriate fiscal authority, predictable transfers, project-preparation support, and access to concessional, development, and climate finance.</w:t>
      </w:r>
    </w:p>
    <w:p>
      <w:pPr>
        <w:ind w:left="720" w:right="360"/>
        <w:spacing w:before="90" w:after="140" w:line="264" w:lineRule="auto"/>
        <w:jc w:val="both"/>
      </w:pPr>
      <w:r>
        <w:rPr>
          <w:rFonts w:ascii="Arial" w:hAnsi="Arial" w:cs="Arial"/>
          <w:i/>
          <w:iCs/>
          <w:sz w:val="20"/>
          <w:szCs w:val="20"/>
        </w:rPr>
        <w:t xml:space="preserve">Digital transformation must be inclusive, secure, rights-respecting, and locally implementable. Investments in digital public infrastructure, open data, smart-city systems, and emerging technologies should be accompanied by privacy protection, cybersecurity, accountable procurement, interoperability, digital literacy, and capacity support for local governments with limited connectivity, staffing, or technical resources.</w:t>
      </w:r>
    </w:p>
    <w:p>
      <w:pPr>
        <w:ind w:left="720" w:right="360"/>
        <w:spacing w:before="90" w:after="140" w:line="264" w:lineRule="auto"/>
        <w:jc w:val="both"/>
      </w:pPr>
      <w:r>
        <w:rPr>
          <w:rFonts w:ascii="Arial" w:hAnsi="Arial" w:cs="Arial"/>
          <w:i/>
          <w:iCs/>
          <w:sz w:val="20"/>
          <w:szCs w:val="20"/>
        </w:rPr>
        <w:t xml:space="preserve">Decentralized cooperation, city diplomacy, and peer learning are practical tools for solidarity and implementation. They should complement national foreign policy and multilateral cooperation, operate transparently and lawfully, and focus on knowledge exchange, climate action, local economic development, disaster resilience, public health, and democratic local governance.</w:t>
      </w:r>
    </w:p>
    <w:p>
      <w:pPr>
        <w:keepNext/>
        <w:spacing w:before="220" w:after="100" w:line="264" w:lineRule="auto"/>
        <w:jc w:val="left"/>
      </w:pPr>
      <w:r>
        <w:rPr>
          <w:rFonts w:ascii="Arial" w:hAnsi="Arial" w:cs="Arial"/>
          <w:b/>
          <w:bCs/>
          <w:sz w:val="20"/>
          <w:szCs w:val="20"/>
        </w:rPr>
        <w:t xml:space="preserve">V. Notes on UCLG Leadership and Regional Election Arrangements</w:t>
      </w:r>
    </w:p>
    <w:p>
      <w:pPr>
        <w:spacing w:before="0" w:after="140" w:line="264" w:lineRule="auto"/>
        <w:jc w:val="both"/>
      </w:pPr>
      <w:r>
        <w:rPr>
          <w:rFonts w:ascii="Arial" w:hAnsi="Arial" w:cs="Arial"/>
          <w:sz w:val="20"/>
          <w:szCs w:val="20"/>
        </w:rPr>
        <w:t xml:space="preserve">ULAP notes the Secretariat's update that the UCLG Committee on Statutory Affairs, at its 1 June 2026 meeting, favored an option under which newly elected UCLG Council members would vote directly by region for the UCLG President, five Co-Presidents, the Treasurer, and the Chair of the Standing Committee on Gender Equality. ULAP may support this direction in principle, since a direct regional election model can strengthen regional accountability and member ownership, provided that the final rules are transparent, well communicated, procedurally fair, and accessible to members across different resource and travel capacities.</w:t>
      </w:r>
    </w:p>
    <w:p>
      <w:pPr>
        <w:spacing w:before="0" w:after="140" w:line="264" w:lineRule="auto"/>
        <w:jc w:val="both"/>
      </w:pPr>
      <w:r>
        <w:rPr>
          <w:rFonts w:ascii="Arial" w:hAnsi="Arial" w:cs="Arial"/>
          <w:sz w:val="20"/>
          <w:szCs w:val="20"/>
        </w:rPr>
        <w:t xml:space="preserve">ULAP recommends that UCLG ASPAC continue to brief members on the final voting procedure, eligibility rules, timelines, nomination requirements, gender equality commitments, and regional coordination process before the ASPAC Caucus on 22 June 2026. Early and clear communication will help ensure that Asia-Pacific members can participate meaningfully and that the region enters the World Congress process with a coherent and legitimate position.</w:t>
      </w:r>
    </w:p>
    <w:p>
      <w:pPr>
        <w:keepNext/>
        <w:spacing w:before="220" w:after="100" w:line="264" w:lineRule="auto"/>
        <w:jc w:val="left"/>
      </w:pPr>
      <w:r>
        <w:rPr>
          <w:rFonts w:ascii="Arial" w:hAnsi="Arial" w:cs="Arial"/>
          <w:b/>
          <w:bCs/>
          <w:sz w:val="20"/>
          <w:szCs w:val="20"/>
        </w:rPr>
        <w:t xml:space="preserve">VI. Proposed ULAP Action</w:t>
      </w:r>
    </w:p>
    <w:p>
      <w:pPr>
        <w:keepNext/>
        <w:spacing w:before="180" w:after="90" w:line="264" w:lineRule="auto"/>
        <w:jc w:val="both"/>
      </w:pPr>
      <w:r>
        <w:rPr>
          <w:rFonts w:ascii="Arial" w:hAnsi="Arial" w:cs="Arial"/>
          <w:b/>
          <w:bCs/>
          <w:sz w:val="20"/>
          <w:szCs w:val="20"/>
        </w:rPr>
        <w:t xml:space="preserve">1. Transmit these comments.</w:t>
      </w:r>
    </w:p>
    <w:p>
      <w:pPr>
        <w:spacing w:before="0" w:after="140" w:line="264" w:lineRule="auto"/>
        <w:jc w:val="both"/>
      </w:pPr>
      <w:r>
        <w:rPr>
          <w:rFonts w:ascii="Arial" w:hAnsi="Arial" w:cs="Arial"/>
          <w:sz w:val="20"/>
          <w:szCs w:val="20"/>
        </w:rPr>
        <w:t xml:space="preserve">Transmit these comments to the UCLG ASPAC Secretariat on or before 9 June 2026, subject to leadership clearance.</w:t>
      </w:r>
    </w:p>
    <w:p>
      <w:pPr>
        <w:keepNext/>
        <w:spacing w:before="180" w:after="90" w:line="264" w:lineRule="auto"/>
        <w:jc w:val="both"/>
      </w:pPr>
      <w:r>
        <w:rPr>
          <w:rFonts w:ascii="Arial" w:hAnsi="Arial" w:cs="Arial"/>
          <w:b/>
          <w:bCs/>
          <w:sz w:val="20"/>
          <w:szCs w:val="20"/>
        </w:rPr>
        <w:t xml:space="preserve">2. Align at the ASPAC Caucus.</w:t>
      </w:r>
    </w:p>
    <w:p>
      <w:pPr>
        <w:spacing w:before="0" w:after="140" w:line="264" w:lineRule="auto"/>
        <w:jc w:val="both"/>
      </w:pPr>
      <w:r>
        <w:rPr>
          <w:rFonts w:ascii="Arial" w:hAnsi="Arial" w:cs="Arial"/>
          <w:sz w:val="20"/>
          <w:szCs w:val="20"/>
        </w:rPr>
        <w:t xml:space="preserve">Use the ASPAC Caucus on 22 June 2026 to seek alignment on regional priorities, the leadership-election procedure, and Asia-Pacific messaging for the UCLG World Congress 2026.</w:t>
      </w:r>
    </w:p>
    <w:p>
      <w:pPr>
        <w:keepNext/>
        <w:spacing w:before="180" w:after="90" w:line="264" w:lineRule="auto"/>
        <w:jc w:val="both"/>
      </w:pPr>
      <w:r>
        <w:rPr>
          <w:rFonts w:ascii="Arial" w:hAnsi="Arial" w:cs="Arial"/>
          <w:b/>
          <w:bCs/>
          <w:sz w:val="20"/>
          <w:szCs w:val="20"/>
        </w:rPr>
        <w:t xml:space="preserve">3. Support a final position paper at the Assembly Session.</w:t>
      </w:r>
    </w:p>
    <w:p>
      <w:pPr>
        <w:spacing w:before="0" w:after="140" w:line="264" w:lineRule="auto"/>
        <w:jc w:val="both"/>
      </w:pPr>
      <w:r>
        <w:rPr>
          <w:rFonts w:ascii="Arial" w:hAnsi="Arial" w:cs="Arial"/>
          <w:sz w:val="20"/>
          <w:szCs w:val="20"/>
        </w:rPr>
        <w:t xml:space="preserve">Use the ASPAC Assembly Session on 23 June 2026 to support a final position paper that is local-autonomy-protective, finance-focused, climate-resilient, digitally responsible, and attentive to the differentiated conditions of Asia-Pacific local governments.</w:t>
      </w:r>
    </w:p>
    <w:p>
      <w:pPr>
        <w:keepNext/>
        <w:spacing w:before="180" w:after="90" w:line="264" w:lineRule="auto"/>
        <w:jc w:val="both"/>
      </w:pPr>
      <w:r>
        <w:rPr>
          <w:rFonts w:ascii="Arial" w:hAnsi="Arial" w:cs="Arial"/>
          <w:b/>
          <w:bCs/>
          <w:sz w:val="20"/>
          <w:szCs w:val="20"/>
        </w:rPr>
        <w:t xml:space="preserve">4. Reflect archipelagic and coastal realities.</w:t>
      </w:r>
    </w:p>
    <w:p>
      <w:pPr>
        <w:spacing w:before="0" w:after="140" w:line="264" w:lineRule="auto"/>
        <w:jc w:val="both"/>
      </w:pPr>
      <w:r>
        <w:rPr>
          <w:rFonts w:ascii="Arial" w:hAnsi="Arial" w:cs="Arial"/>
          <w:sz w:val="20"/>
          <w:szCs w:val="20"/>
        </w:rPr>
        <w:t xml:space="preserve">Request that the final UCLG ASPAC position paper reflect the practical implementation needs of archipelagic, island, coastal, intermediary, and rural local governments, in addition to major metropolitan centers.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respectfully conveys these comments in support of a stronger, more implementable, and regionally representative UCLG ASPAC position for the UCLG World Congress 2026. ULAP stands ready to provide further technical inputs and to work with UCLG ASPAC members toward a shared Asia-Pacific agenda that advances local autonomy, democratic local governance, climate resilience, inclusive development, and practical access to financing and partnerships for local governments.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