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1980" w:lineRule="exact"/>
        <w:jc w:val="left"/>
      </w:pPr>
    </w:p>
    <w:p>
      <w:pPr>
        <w:spacing w:before="0" w:after="40" w:line="264" w:lineRule="auto"/>
        <w:jc w:val="center"/>
      </w:pPr>
      <w:r>
        <w:rPr>
          <w:rFonts w:ascii="Arial" w:hAnsi="Arial" w:cs="Arial"/>
          <w:b/>
          <w:bCs/>
          <w:sz w:val="24"/>
          <w:szCs w:val="24"/>
        </w:rPr>
        <w:t xml:space="preserve">ULAP POSITION PAPER</w:t>
      </w:r>
    </w:p>
    <w:p>
      <w:pPr>
        <w:spacing w:before="40" w:after="200" w:line="264" w:lineRule="auto"/>
        <w:jc w:val="center"/>
      </w:pPr>
      <w:r>
        <w:rPr>
          <w:rFonts w:ascii="Arial" w:hAnsi="Arial" w:cs="Arial"/>
          <w:b/>
          <w:bCs/>
          <w:sz w:val="24"/>
          <w:szCs w:val="24"/>
        </w:rPr>
        <w:t xml:space="preserve">ON THE BARANGAY INTEGRATED DEVELOPMENT APPROACH FOR NUTRITION IMPROVEMENT (BIDANI) BILLS</w:t>
      </w:r>
    </w:p>
    <w:p>
      <w:pPr>
        <w:spacing w:before="0" w:after="140" w:line="264" w:lineRule="auto"/>
        <w:jc w:val="both"/>
      </w:pPr>
      <w:r>
        <w:rPr>
          <w:rFonts w:ascii="Arial" w:hAnsi="Arial" w:cs="Arial"/>
          <w:sz w:val="20"/>
          <w:szCs w:val="20"/>
        </w:rPr>
        <w:t xml:space="preserve">6 July 2026</w:t>
      </w:r>
    </w:p>
    <w:p>
      <w:pPr>
        <w:spacing w:before="0" w:after="140" w:line="264" w:lineRule="auto"/>
        <w:jc w:val="both"/>
      </w:pPr>
      <w:r>
        <w:rPr>
          <w:rFonts w:ascii="Arial" w:hAnsi="Arial" w:cs="Arial"/>
          <w:sz w:val="20"/>
          <w:szCs w:val="20"/>
        </w:rPr>
        <w:t xml:space="preserve">For: House of Representatives</w:t>
      </w:r>
    </w:p>
    <w:p>
      <w:pPr>
        <w:spacing w:before="0" w:after="140" w:line="264" w:lineRule="auto"/>
        <w:jc w:val="both"/>
      </w:pPr>
      <w:r>
        <w:rPr>
          <w:rFonts w:ascii="Arial" w:hAnsi="Arial" w:cs="Arial"/>
          <w:sz w:val="20"/>
          <w:szCs w:val="20"/>
        </w:rPr>
        <w:t xml:space="preserve">Reference: Request for ULAP position paper on HB 6084, HB 4967, HB 3562, HB 666, and related BIDANI measures</w:t>
      </w:r>
    </w:p>
    <w:p>
      <w:pPr>
        <w:keepNext/>
        <w:spacing w:before="220" w:after="100" w:line="264" w:lineRule="auto"/>
        <w:jc w:val="left"/>
      </w:pPr>
      <w:r>
        <w:rPr>
          <w:rFonts w:ascii="Arial" w:hAnsi="Arial" w:cs="Arial"/>
          <w:b/>
          <w:bCs/>
          <w:sz w:val="20"/>
          <w:szCs w:val="20"/>
        </w:rPr>
        <w:t xml:space="preserve">Executive Position</w:t>
      </w:r>
    </w:p>
    <w:p>
      <w:pPr>
        <w:spacing w:before="0" w:after="140" w:line="264" w:lineRule="auto"/>
        <w:jc w:val="both"/>
      </w:pPr>
      <w:r>
        <w:rPr>
          <w:rFonts w:ascii="Arial" w:hAnsi="Arial" w:cs="Arial"/>
          <w:sz w:val="20"/>
          <w:szCs w:val="20"/>
        </w:rPr>
        <w:t xml:space="preserve">The Union of Local Authorities of the Philippines (ULAP) supports the objective of strengthening barangay-based nutrition improvement, local food security, and integrated community development. The BIDANI framework tracks a practical reality in local governance: a health office cannot solve malnutrition on its own. Outcomes turn on household income, food availability, sanitation, maternal and child health, day care and school feeding, agriculture support, social protection, and barangay-level follow-through.</w:t>
      </w:r>
    </w:p>
    <w:p>
      <w:pPr>
        <w:spacing w:before="0" w:after="140" w:line="264" w:lineRule="auto"/>
        <w:jc w:val="both"/>
      </w:pPr>
      <w:r>
        <w:rPr>
          <w:rFonts w:ascii="Arial" w:hAnsi="Arial" w:cs="Arial"/>
          <w:sz w:val="20"/>
          <w:szCs w:val="20"/>
        </w:rPr>
        <w:t xml:space="preserve">ULAP respectfully submits that the measure should proceed with amendments that make implementation clear, funded, locally integrated, and administratively workable. A national BIDANI policy can help LGUs if it strengthens existing local nutrition systems, recognizes barangays as front-line implementation partners, protects LGU planning authority, and provides national financing and technical assistance for new responsibilities.</w:t>
      </w:r>
    </w:p>
    <w:p>
      <w:pPr>
        <w:keepNext/>
        <w:spacing w:before="220" w:after="100" w:line="264" w:lineRule="auto"/>
        <w:jc w:val="left"/>
      </w:pPr>
      <w:r>
        <w:rPr>
          <w:rFonts w:ascii="Arial" w:hAnsi="Arial" w:cs="Arial"/>
          <w:b/>
          <w:bCs/>
          <w:sz w:val="20"/>
          <w:szCs w:val="20"/>
        </w:rPr>
        <w:t xml:space="preserve">Policy Appreciation</w:t>
      </w:r>
    </w:p>
    <w:p>
      <w:pPr>
        <w:spacing w:before="0" w:after="140" w:line="264" w:lineRule="auto"/>
        <w:jc w:val="both"/>
      </w:pPr>
      <w:r>
        <w:rPr>
          <w:rFonts w:ascii="Arial" w:hAnsi="Arial" w:cs="Arial"/>
          <w:sz w:val="20"/>
          <w:szCs w:val="20"/>
        </w:rPr>
        <w:t xml:space="preserve">The bills correctly recognize that nutrition improvement requires an integrated development approach at the barangay level. This is a sound policy direction. Barangays see household conditions first; municipalities and cities coordinate health, agriculture, social welfare, education, and sanitation services; provinces provide technical and hospital-system support; and national agencies set policy, financing, standards, and data systems.</w:t>
      </w:r>
    </w:p>
    <w:p>
      <w:pPr>
        <w:spacing w:before="0" w:after="140" w:line="264" w:lineRule="auto"/>
        <w:jc w:val="both"/>
      </w:pPr>
      <w:r>
        <w:rPr>
          <w:rFonts w:ascii="Arial" w:hAnsi="Arial" w:cs="Arial"/>
          <w:sz w:val="20"/>
          <w:szCs w:val="20"/>
        </w:rPr>
        <w:t xml:space="preserve">ULAP supports a BIDANI law that connects national nutrition objectives to the actual service-delivery chain of LGUs. The measure can also strengthen the link between nutrition programs, local development planning, local health systems, social protection targeting, and agriculture and livelihood interventions.</w:t>
      </w:r>
    </w:p>
    <w:p>
      <w:pPr>
        <w:keepNext/>
        <w:spacing w:before="220" w:after="100" w:line="264" w:lineRule="auto"/>
        <w:jc w:val="left"/>
      </w:pPr>
      <w:r>
        <w:rPr>
          <w:rFonts w:ascii="Arial" w:hAnsi="Arial" w:cs="Arial"/>
          <w:b/>
          <w:bCs/>
          <w:sz w:val="20"/>
          <w:szCs w:val="20"/>
        </w:rPr>
        <w:t xml:space="preserve">ULAP Position and Recommendations</w:t>
      </w:r>
    </w:p>
    <w:p>
      <w:pPr>
        <w:keepNext/>
        <w:spacing w:before="180" w:after="90" w:line="264" w:lineRule="auto"/>
        <w:jc w:val="both"/>
      </w:pPr>
      <w:r>
        <w:rPr>
          <w:rFonts w:ascii="Arial" w:hAnsi="Arial" w:cs="Arial"/>
          <w:b/>
          <w:bCs/>
          <w:sz w:val="20"/>
          <w:szCs w:val="20"/>
        </w:rPr>
        <w:t xml:space="preserve">1. Embed BIDANI within existing local nutrition and development structures.</w:t>
      </w:r>
    </w:p>
    <w:p>
      <w:pPr>
        <w:spacing w:before="0" w:after="140" w:line="264" w:lineRule="auto"/>
        <w:jc w:val="both"/>
      </w:pPr>
      <w:r>
        <w:rPr>
          <w:rFonts w:ascii="Arial" w:hAnsi="Arial" w:cs="Arial"/>
          <w:sz w:val="20"/>
          <w:szCs w:val="20"/>
        </w:rPr>
        <w:t xml:space="preserve">The law should not create a parallel barangay nutrition bureaucracy. It should build on the Local Nutrition Action Plan, Local Nutrition Committees, Barangay Nutrition Scholars, Barangay Health Workers, local health boards, local development councils, and existing city, municipal, and provincial planning mechanisms.</w:t>
      </w:r>
    </w:p>
    <w:p>
      <w:pPr>
        <w:spacing w:before="0" w:after="140" w:line="264" w:lineRule="auto"/>
        <w:jc w:val="both"/>
      </w:pPr>
      <w:r>
        <w:rPr>
          <w:rFonts w:ascii="Arial" w:hAnsi="Arial" w:cs="Arial"/>
          <w:sz w:val="20"/>
          <w:szCs w:val="20"/>
        </w:rPr>
        <w:t xml:space="preserve">ULAP recommends language clarifying that BIDANI plans and activities shall be integrated into local development plans, annual investment programs, local nutrition action plans, and barangay development plans, subject to local planning and budget processes. This prevents duplication and keeps the framework usable by LGUs with different capacities.</w:t>
      </w:r>
    </w:p>
    <w:p>
      <w:pPr>
        <w:keepNext/>
        <w:spacing w:before="180" w:after="90" w:line="264" w:lineRule="auto"/>
        <w:jc w:val="both"/>
      </w:pPr>
      <w:r>
        <w:rPr>
          <w:rFonts w:ascii="Arial" w:hAnsi="Arial" w:cs="Arial"/>
          <w:b/>
          <w:bCs/>
          <w:sz w:val="20"/>
          <w:szCs w:val="20"/>
        </w:rPr>
        <w:t xml:space="preserve">2. Pair every new local duty with national financing, technical assistance, and templates.</w:t>
      </w:r>
    </w:p>
    <w:p>
      <w:pPr>
        <w:spacing w:before="0" w:after="140" w:line="264" w:lineRule="auto"/>
        <w:jc w:val="both"/>
      </w:pPr>
      <w:r>
        <w:rPr>
          <w:rFonts w:ascii="Arial" w:hAnsi="Arial" w:cs="Arial"/>
          <w:sz w:val="20"/>
          <w:szCs w:val="20"/>
        </w:rPr>
        <w:t xml:space="preserve">The bills should avoid unfunded mandates. Barangay-level nutrition work requires household profiling, growth monitoring, data consolidation, home visits, referral, community mobilization, food and livelihood coordination, reporting, and follow-through. Many barangays and lower-income LGUs will need technical support, training, data tools, and operating funds.</w:t>
      </w:r>
    </w:p>
    <w:p>
      <w:pPr>
        <w:spacing w:before="0" w:after="140" w:line="264" w:lineRule="auto"/>
        <w:jc w:val="both"/>
      </w:pPr>
      <w:r>
        <w:rPr>
          <w:rFonts w:ascii="Arial" w:hAnsi="Arial" w:cs="Arial"/>
          <w:sz w:val="20"/>
          <w:szCs w:val="20"/>
        </w:rPr>
        <w:t xml:space="preserve">ULAP proposes a dedicated national support mechanism for LGUs and barangays implementing BIDANI, including training modules, standard forms, interoperable data tools, monitoring templates, and financing windows for nutrition-sensitive local interventions.</w:t>
      </w:r>
    </w:p>
    <w:p>
      <w:pPr>
        <w:keepNext/>
        <w:spacing w:before="180" w:after="90" w:line="264" w:lineRule="auto"/>
        <w:jc w:val="both"/>
      </w:pPr>
      <w:r>
        <w:rPr>
          <w:rFonts w:ascii="Arial" w:hAnsi="Arial" w:cs="Arial"/>
          <w:b/>
          <w:bCs/>
          <w:sz w:val="20"/>
          <w:szCs w:val="20"/>
        </w:rPr>
        <w:t xml:space="preserve">3. Clarify the respective roles of national agencies, provinces, cities, municipalities, and barangays.</w:t>
      </w:r>
    </w:p>
    <w:p>
      <w:pPr>
        <w:spacing w:before="0" w:after="140" w:line="264" w:lineRule="auto"/>
        <w:jc w:val="both"/>
      </w:pPr>
      <w:r>
        <w:rPr>
          <w:rFonts w:ascii="Arial" w:hAnsi="Arial" w:cs="Arial"/>
          <w:sz w:val="20"/>
          <w:szCs w:val="20"/>
        </w:rPr>
        <w:t xml:space="preserve">The law should clearly assign functions across levels of government. National agencies should set standards, finance capacity-building, provide technical assistance, and consolidate evidence. Provinces should support technical integration, referral systems, and inter-municipal coordination. Cities and municipalities should operationalize programs across barangays. Barangays should assist in household-level identification, community mobilization, and local follow-through.</w:t>
      </w:r>
    </w:p>
    <w:p>
      <w:pPr>
        <w:spacing w:before="0" w:after="140" w:line="264" w:lineRule="auto"/>
        <w:jc w:val="both"/>
      </w:pPr>
      <w:r>
        <w:rPr>
          <w:rFonts w:ascii="Arial" w:hAnsi="Arial" w:cs="Arial"/>
          <w:sz w:val="20"/>
          <w:szCs w:val="20"/>
        </w:rPr>
        <w:t xml:space="preserve">This role clarity will prevent implementation gaps and reduce the risk that barangays are assigned responsibilities they cannot finance or legally perform on their own.</w:t>
      </w:r>
    </w:p>
    <w:p>
      <w:pPr>
        <w:keepNext/>
        <w:spacing w:before="180" w:after="90" w:line="264" w:lineRule="auto"/>
        <w:jc w:val="both"/>
      </w:pPr>
      <w:r>
        <w:rPr>
          <w:rFonts w:ascii="Arial" w:hAnsi="Arial" w:cs="Arial"/>
          <w:b/>
          <w:bCs/>
          <w:sz w:val="20"/>
          <w:szCs w:val="20"/>
        </w:rPr>
        <w:t xml:space="preserve">4. Protect data privacy and improve data usefulness.</w:t>
      </w:r>
    </w:p>
    <w:p>
      <w:pPr>
        <w:spacing w:before="0" w:after="140" w:line="264" w:lineRule="auto"/>
        <w:jc w:val="both"/>
      </w:pPr>
      <w:r>
        <w:rPr>
          <w:rFonts w:ascii="Arial" w:hAnsi="Arial" w:cs="Arial"/>
          <w:sz w:val="20"/>
          <w:szCs w:val="20"/>
        </w:rPr>
        <w:t xml:space="preserve">Nutrition programs require household and child-level information. The law should require lawful data sharing, privacy protection, and clear limits on use. Data collected for BIDANI should support planning, referral, and program monitoring rather than add a duplicative reporting burden disconnected from service delivery.</w:t>
      </w:r>
    </w:p>
    <w:p>
      <w:pPr>
        <w:spacing w:before="0" w:after="140" w:line="264" w:lineRule="auto"/>
        <w:jc w:val="both"/>
      </w:pPr>
      <w:r>
        <w:rPr>
          <w:rFonts w:ascii="Arial" w:hAnsi="Arial" w:cs="Arial"/>
          <w:sz w:val="20"/>
          <w:szCs w:val="20"/>
        </w:rPr>
        <w:t xml:space="preserve">ULAP urges that any BIDANI information system be interoperable with existing health, nutrition, social protection, and local planning systems, with DILG, DOH, NNC, DSWD, DA, DepEd, ULAP, and the LGU leagues participating in the design of local reporting requirements.</w:t>
      </w:r>
    </w:p>
    <w:p>
      <w:pPr>
        <w:keepNext/>
        <w:spacing w:before="180" w:after="90" w:line="264" w:lineRule="auto"/>
        <w:jc w:val="both"/>
      </w:pPr>
      <w:r>
        <w:rPr>
          <w:rFonts w:ascii="Arial" w:hAnsi="Arial" w:cs="Arial"/>
          <w:b/>
          <w:bCs/>
          <w:sz w:val="20"/>
          <w:szCs w:val="20"/>
        </w:rPr>
        <w:t xml:space="preserve">5. Include ULAP and the LGU leagues in the IRR and implementation review.</w:t>
      </w:r>
    </w:p>
    <w:p>
      <w:pPr>
        <w:spacing w:before="0" w:after="140" w:line="264" w:lineRule="auto"/>
        <w:jc w:val="both"/>
      </w:pPr>
      <w:r>
        <w:rPr>
          <w:rFonts w:ascii="Arial" w:hAnsi="Arial" w:cs="Arial"/>
          <w:sz w:val="20"/>
          <w:szCs w:val="20"/>
        </w:rPr>
        <w:t xml:space="preserve">Because implementation will rest heavily on barangays, municipalities, cities, and provinces, the implementing rules should be prepared with direct participation of ULAP and the LGU leagues. The IRR should also include a periodic implementation review to determine whether the law is improving nutrition outcomes without overwhelming local administrative capacity.</w:t>
      </w:r>
    </w:p>
    <w:p>
      <w:pPr>
        <w:keepNext/>
        <w:spacing w:before="220" w:after="100" w:line="264" w:lineRule="auto"/>
        <w:jc w:val="left"/>
      </w:pPr>
      <w:r>
        <w:rPr>
          <w:rFonts w:ascii="Arial" w:hAnsi="Arial" w:cs="Arial"/>
          <w:b/>
          <w:bCs/>
          <w:sz w:val="20"/>
          <w:szCs w:val="20"/>
        </w:rPr>
        <w:t xml:space="preserve">ULAP Recommendation</w:t>
      </w:r>
    </w:p>
    <w:p>
      <w:pPr>
        <w:spacing w:before="0" w:after="140" w:line="264" w:lineRule="auto"/>
        <w:jc w:val="both"/>
      </w:pPr>
      <w:r>
        <w:rPr>
          <w:rFonts w:ascii="Arial" w:hAnsi="Arial" w:cs="Arial"/>
          <w:sz w:val="20"/>
          <w:szCs w:val="20"/>
        </w:rPr>
        <w:t xml:space="preserve">ULAP supports the passage of a BIDANI measure subject to amendments that integrate it with existing local nutrition structures, define national-local responsibilities, provide financing and technical assistance, protect data privacy, and require ULAP and LGU league participation in the IRR.</w:t>
      </w:r>
    </w:p>
    <w:p>
      <w:pPr>
        <w:spacing w:before="0" w:after="140" w:line="264" w:lineRule="auto"/>
        <w:jc w:val="both"/>
      </w:pPr>
      <w:r>
        <w:rPr>
          <w:rFonts w:ascii="Arial" w:hAnsi="Arial" w:cs="Arial"/>
          <w:sz w:val="20"/>
          <w:szCs w:val="20"/>
        </w:rPr>
        <w:t xml:space="preserve">A well-designed BIDANI law can strengthen barangay-based nutrition improvement while respecting local planning systems and the fiscal realities of LGUs. ULAP stands ready to work with Congress, national agencies, and the LGU leagues in refining the measure for effective implementation.</w:t>
      </w:r>
    </w:p>
    <w:sectPr>
      <w:headerReference r:id="rId6" w:type="first"/>
      <w:footerReference r:id="rId7" w:type="first"/>
      <w:headerReference r:id="rId8" w:type="default"/>
      <w:footerReference r:id="rId9" w:type="default"/>
      <w:pgSz w:h="16838" w:w="11906" w:orient="portrait"/>
      <w:pgMar w:bottom="2160" w:top="1440" w:left="1440" w:right="1440" w:header="720" w:footer="576"/>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-962024</wp:posOffset>
          </wp:positionH>
          <wp:positionV relativeFrom="paragraph">
            <wp:posOffset>205787</wp:posOffset>
          </wp:positionV>
          <wp:extent cx="7762875" cy="933877"/>
          <wp:effectExtent b="0" l="0" r="0" t="0"/>
          <wp:wrapNone/>
          <wp:docPr id="2" name="image1.png"/>
          <a:graphic>
            <a:graphicData uri="http://schemas.openxmlformats.org/drawingml/2006/picture">
              <pic:pic>
                <pic:nvPicPr>
                  <pic:cNvPr id="0" name="image1.png"/>
                  <pic:cNvPicPr preferRelativeResize="0"/>
                </pic:nvPicPr>
                <pic:blipFill>
                  <a:blip r:embed="rId1"/>
                  <a:srcRect b="0" l="0" r="0" t="63954"/>
                  <a:stretch>
                    <a:fillRect/>
                  </a:stretch>
                </pic:blipFill>
                <pic:spPr>
                  <a:xfrm>
                    <a:off x="0" y="0"/>
                    <a:ext cx="7762875" cy="933877"/>
                  </a:xfrm>
                  <a:prstGeom prst="rect"/>
                  <a:ln/>
                </pic:spPr>
              </pic:pic>
            </a:graphicData>
          </a:graphic>
        </wp:anchor>
      </w:drawing>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ftr>
</file>

<file path=word/footer2.xml><?xml version="1.0" encoding="utf-8"?>
<w:ftr xmlns:w="http://schemas.openxmlformats.org/wordprocessingml/2006/main">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tabs>
        <w:tab w:val="center" w:leader="none" w:pos="4680"/>
        <w:tab w:val="right" w:leader="none" w:pos="9360"/>
        <w:tab w:val="right" w:leader="none" w:pos="10184"/>
      </w:tabs>
      <w:spacing w:line="240" w:lineRule="auto"/>
      <w:jc w:val="center"/>
      <w:rPr>
        <w:sz w:val="7"/>
        <w:szCs w:val="7"/>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
              <a:graphic>
                <a:graphicData uri="http://schemas.microsoft.com/office/word/2010/wordprocessingGroup">
                  <wpg:wgp>
                    <wpg:cNvGrpSpPr/>
                    <wpg:grpSpPr>
                      <a:xfrm>
                        <a:off x="1414075" y="2974800"/>
                        <a:ext cx="8249383" cy="1671638"/>
                        <a:chOff x="1414075" y="2974800"/>
                        <a:chExt cx="7863850" cy="1610400"/>
                      </a:xfrm>
                    </wpg:grpSpPr>
                    <wpg:grpSp>
                      <wpg:cNvGrpSpPr/>
                      <wpg:grpSpPr>
                        <a:xfrm>
                          <a:off x="1414080" y="2974820"/>
                          <a:ext cx="7863840" cy="1610360"/>
                          <a:chOff x="1414075" y="2974800"/>
                          <a:chExt cx="7863850" cy="1610400"/>
                        </a:xfrm>
                      </wpg:grpSpPr>
                      <wps:wsp>
                        <wps:cNvSpPr/>
                        <wps:cNvPr id="3" name="Shape 3"/>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5" name="Shape 5"/>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7" name="Shape 7"/>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9" name="Shape 9"/>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0" y="0"/>
                                  <a:chExt cx="7863840" cy="1610360"/>
                                </a:xfrm>
                              </wpg:grpSpPr>
                              <wps:wsp>
                                <wps:cNvSpPr/>
                                <wps:cNvPr id="11" name="Shape 11"/>
                                <wps:spPr>
                                  <a:xfrm>
                                    <a:off x="0" y="0"/>
                                    <a:ext cx="7863825" cy="1610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picture containing icon  Description automatically generated" id="12" name="Shape 12"/>
                                  <pic:cNvPicPr preferRelativeResize="0"/>
                                </pic:nvPicPr>
                                <pic:blipFill rotWithShape="1">
                                  <a:blip r:embed="rId1">
                                    <a:alphaModFix amt="50000"/>
                                  </a:blip>
                                  <a:srcRect b="0" l="0" r="0" t="0"/>
                                  <a:stretch/>
                                </pic:blipFill>
                                <pic:spPr>
                                  <a:xfrm flipH="1">
                                    <a:off x="95250" y="228600"/>
                                    <a:ext cx="7767955" cy="1247775"/>
                                  </a:xfrm>
                                  <a:prstGeom prst="rect">
                                    <a:avLst/>
                                  </a:prstGeom>
                                  <a:noFill/>
                                  <a:ln>
                                    <a:noFill/>
                                  </a:ln>
                                </pic:spPr>
                              </pic:pic>
                              <pic:pic>
                                <pic:nvPicPr>
                                  <pic:cNvPr descr="A picture containing icon  Description automatically generated" id="13" name="Shape 13"/>
                                  <pic:cNvPicPr preferRelativeResize="0"/>
                                </pic:nvPicPr>
                                <pic:blipFill rotWithShape="1">
                                  <a:blip r:embed="rId1">
                                    <a:alphaModFix amt="50000"/>
                                  </a:blip>
                                  <a:srcRect b="0" l="0" r="39356" t="0"/>
                                  <a:stretch/>
                                </pic:blipFill>
                                <pic:spPr>
                                  <a:xfrm>
                                    <a:off x="95250" y="222250"/>
                                    <a:ext cx="4705350" cy="1247775"/>
                                  </a:xfrm>
                                  <a:prstGeom prst="rect">
                                    <a:avLst/>
                                  </a:prstGeom>
                                  <a:noFill/>
                                  <a:ln>
                                    <a:noFill/>
                                  </a:ln>
                                </pic:spPr>
                              </pic:pic>
                              <pic:pic>
                                <pic:nvPicPr>
                                  <pic:cNvPr id="14" name="Shape 14"/>
                                  <pic:cNvPicPr preferRelativeResize="0"/>
                                </pic:nvPicPr>
                                <pic:blipFill rotWithShape="1">
                                  <a:blip r:embed="rId2">
                                    <a:alphaModFix/>
                                  </a:blip>
                                  <a:srcRect b="29036" l="0" r="0" t="2914"/>
                                  <a:stretch/>
                                </pic:blipFill>
                                <pic:spPr>
                                  <a:xfrm>
                                    <a:off x="990600" y="590550"/>
                                    <a:ext cx="5943600" cy="1019810"/>
                                  </a:xfrm>
                                  <a:prstGeom prst="rect">
                                    <a:avLst/>
                                  </a:prstGeom>
                                  <a:noFill/>
                                  <a:ln>
                                    <a:noFill/>
                                  </a:ln>
                                </pic:spPr>
                              </pic:pic>
                              <pic:pic>
                                <pic:nvPicPr>
                                  <pic:cNvPr descr="Background pattern  Description automatically generated" id="15" name="Shape 15"/>
                                  <pic:cNvPicPr preferRelativeResize="0"/>
                                </pic:nvPicPr>
                                <pic:blipFill rotWithShape="1">
                                  <a:blip r:embed="rId3">
                                    <a:alphaModFix/>
                                  </a:blip>
                                  <a:srcRect b="0" l="0" r="0" t="0"/>
                                  <a:stretch/>
                                </pic:blipFill>
                                <pic:spPr>
                                  <a:xfrm>
                                    <a:off x="0" y="0"/>
                                    <a:ext cx="7863840" cy="396875"/>
                                  </a:xfrm>
                                  <a:prstGeom prst="rect">
                                    <a:avLst/>
                                  </a:prstGeom>
                                  <a:noFill/>
                                  <a:ln>
                                    <a:noFill/>
                                  </a:ln>
                                </pic:spPr>
                              </pic:pic>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4"/>
                      <a:srcRect/>
                      <a:stretch>
                        <a:fillRect/>
                      </a:stretch>
                    </pic:blipFill>
                    <pic:spPr>
                      <a:xfrm>
                        <a:off x="0" y="0"/>
                        <a:ext cx="8249383" cy="1671638"/>
                      </a:xfrm>
                      <a:prstGeom prst="rect"/>
                      <a:ln/>
                    </pic:spPr>
                  </pic:pic>
                </a:graphicData>
              </a:graphic>
            </wp:anchor>
          </w:drawing>
        </mc:Fallback>
      </mc:AlternateContent>
    </w:r>
  </w:p>
  <w:p w:rsidR="00000000" w:rsidDel="00000000" w:rsidP="00000000" w:rsidRDefault="00000000" w:rsidRPr="00000000" w14:paraId="00000003">
    <w:pPr>
      <w:tabs>
        <w:tab w:val="center" w:leader="none" w:pos="4680"/>
        <w:tab w:val="right" w:leader="none" w:pos="9360"/>
        <w:tab w:val="right" w:leader="none" w:pos="10184"/>
      </w:tabs>
      <w:spacing w:line="240" w:lineRule="auto"/>
      <w:jc w:val="center"/>
      <w:rPr>
        <w:sz w:val="16"/>
        <w:szCs w:val="16"/>
      </w:rPr>
    </w:pPr>
    <w:r w:rsidDel="00000000" w:rsidR="00000000" w:rsidRPr="00000000">
      <w:rPr>
        <w:sz w:val="16"/>
        <w:szCs w:val="16"/>
        <w:rtl w:val="0"/>
      </w:rPr>
      <w:t xml:space="preserve">28F Unit 2803 Summit One Tower 530 Shaw Boulevard, Mandaluyong City</w:t>
    </w:r>
  </w:p>
  <w:p w:rsidR="00000000" w:rsidDel="00000000" w:rsidP="00000000" w:rsidRDefault="00000000" w:rsidRPr="00000000" w14:paraId="00000004">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Phone: </w:t>
    </w:r>
    <w:r w:rsidDel="00000000" w:rsidR="00000000" w:rsidRPr="00000000">
      <w:rPr>
        <w:sz w:val="16"/>
        <w:szCs w:val="16"/>
        <w:rtl w:val="0"/>
      </w:rPr>
      <w:t xml:space="preserve">(+63) 9189856659 </w:t>
    </w:r>
    <w:r w:rsidDel="00000000" w:rsidR="00000000" w:rsidRPr="00000000">
      <w:rPr>
        <w:b w:val="1"/>
        <w:bCs w:val="1"/>
        <w:sz w:val="16"/>
        <w:szCs w:val="16"/>
        <w:rtl w:val="0"/>
      </w:rPr>
      <w:t xml:space="preserve">E-Mail:</w:t>
    </w:r>
    <w:r w:rsidDel="00000000" w:rsidR="00000000" w:rsidRPr="00000000">
      <w:rPr>
        <w:sz w:val="16"/>
        <w:szCs w:val="16"/>
        <w:rtl w:val="0"/>
      </w:rPr>
      <w:t xml:space="preserve"> </w:t>
    </w:r>
    <w:hyperlink r:id="rId5">
      <w:r w:rsidDel="00000000" w:rsidR="00000000" w:rsidRPr="00000000">
        <w:rPr>
          <w:color w:val="0563c1"/>
          <w:sz w:val="16"/>
          <w:szCs w:val="16"/>
          <w:u w:val="single"/>
          <w:rtl w:val="0"/>
        </w:rPr>
        <w:t xml:space="preserve">ulapnatsec@gmail.com</w:t>
      </w:r>
    </w:hyperlink>
    <w:r w:rsidDel="00000000" w:rsidR="00000000" w:rsidRPr="00000000">
      <w:rPr>
        <w:sz w:val="16"/>
        <w:szCs w:val="16"/>
        <w:rtl w:val="0"/>
      </w:rPr>
      <w:t xml:space="preserve">, </w:t>
    </w:r>
    <w:hyperlink r:id="rId6">
      <w:r w:rsidDel="00000000" w:rsidR="00000000" w:rsidRPr="00000000">
        <w:rPr>
          <w:color w:val="0563c1"/>
          <w:sz w:val="16"/>
          <w:szCs w:val="16"/>
          <w:u w:val="single"/>
          <w:rtl w:val="0"/>
        </w:rPr>
        <w:t xml:space="preserve">secretariat@ulap.net.ph</w:t>
      </w:r>
    </w:hyperlink>
    <w:r w:rsidDel="00000000" w:rsidR="00000000" w:rsidRPr="00000000">
      <w:rPr>
        <w:rtl w:val="0"/>
      </w:rPr>
    </w:r>
  </w:p>
  <w:p w:rsidR="00000000" w:rsidDel="00000000" w:rsidP="00000000" w:rsidRDefault="00000000" w:rsidRPr="00000000" w14:paraId="00000005">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Website:</w:t>
    </w:r>
    <w:r w:rsidDel="00000000" w:rsidR="00000000" w:rsidRPr="00000000">
      <w:rPr>
        <w:sz w:val="16"/>
        <w:szCs w:val="16"/>
        <w:rtl w:val="0"/>
      </w:rPr>
      <w:t xml:space="preserve"> </w:t>
    </w:r>
    <w:hyperlink r:id="rId7">
      <w:r w:rsidDel="00000000" w:rsidR="00000000" w:rsidRPr="00000000">
        <w:rPr>
          <w:color w:val="0563c1"/>
          <w:sz w:val="16"/>
          <w:szCs w:val="16"/>
          <w:u w:val="single"/>
          <w:rtl w:val="0"/>
        </w:rPr>
        <w:t xml:space="preserve">www.ulap.net.ph</w:t>
      </w:r>
    </w:hyperlink>
    <w:r w:rsidDel="00000000" w:rsidR="00000000" w:rsidRPr="00000000">
      <w:rPr>
        <w:sz w:val="16"/>
        <w:szCs w:val="16"/>
        <w:rtl w:val="0"/>
      </w:rPr>
      <w:t xml:space="preserve"> </w:t>
    </w:r>
    <w:r w:rsidDel="00000000" w:rsidR="00000000" w:rsidRPr="00000000">
      <w:rPr>
        <w:b w:val="1"/>
        <w:bCs w:val="1"/>
        <w:sz w:val="16"/>
        <w:szCs w:val="16"/>
        <w:rtl w:val="0"/>
      </w:rPr>
      <w:t xml:space="preserve">Facebook:</w:t>
    </w:r>
    <w:r w:rsidDel="00000000" w:rsidR="00000000" w:rsidRPr="00000000">
      <w:rPr>
        <w:sz w:val="16"/>
        <w:szCs w:val="16"/>
        <w:rtl w:val="0"/>
      </w:rPr>
      <w:t xml:space="preserve"> </w:t>
    </w:r>
    <w:hyperlink r:id="rId8">
      <w:r w:rsidDel="00000000" w:rsidR="00000000" w:rsidRPr="00000000">
        <w:rPr>
          <w:color w:val="0563c1"/>
          <w:sz w:val="16"/>
          <w:szCs w:val="16"/>
          <w:u w:val="single"/>
          <w:rtl w:val="0"/>
        </w:rPr>
        <w:t xml:space="preserve">www.facebook.com/ulap.net.ph</w:t>
      </w:r>
    </w:hyperlink>
    <w:r w:rsidDel="00000000" w:rsidR="00000000" w:rsidRPr="00000000">
      <w:rPr>
        <w:sz w:val="16"/>
        <w:szCs w:val="16"/>
        <w:rtl w:val="0"/>
      </w:rPr>
      <w:t xml:space="preserve"> </w:t>
    </w:r>
  </w:p>
  <w:p w:rsidR="00000000" w:rsidDel="00000000" w:rsidP="00000000" w:rsidRDefault="00000000" w:rsidRPr="00000000" w14:paraId="00000006">
    <w:pPr>
      <w:pBdr>
        <w:bottom w:color="000000" w:space="1" w:sz="6" w:val="single"/>
      </w:pBdr>
      <w:tabs>
        <w:tab w:val="center" w:leader="none" w:pos="4680"/>
        <w:tab w:val="right" w:leader="none" w:pos="9360"/>
      </w:tabs>
      <w:spacing w:line="240" w:lineRule="auto"/>
      <w:ind w:left="-1134" w:right="-1097" w:firstLine="0"/>
      <w:rPr>
        <w:b w:val="1"/>
        <w:bCs w:val="1"/>
        <w:color w:val="002060"/>
        <w:sz w:val="15"/>
        <w:szCs w:val="15"/>
      </w:rPr>
    </w:pPr>
    <w:r w:rsidDel="00000000" w:rsidR="00000000" w:rsidRPr="00000000">
      <w:rPr>
        <w:rtl w:val="0"/>
      </w:rPr>
    </w:r>
  </w:p>
  <w:p w:rsidR="00000000" w:rsidDel="00000000" w:rsidP="00000000" w:rsidRDefault="00000000" w:rsidRPr="00000000" w14:paraId="0000000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hdr>
</file>

<file path=word/header2.xml><?xml version="1.0" encoding="utf-8"?>
<w:hdr xmlns:w="http://schemas.openxmlformats.org/wordprocessingml/2006/main">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s>
</file>

<file path=word/_rels/footer1.xml.rels><?xml version="1.0" encoding="UTF-8"?><Relationships xmlns="http://schemas.openxmlformats.org/package/2006/relationships"><Relationship Id="rId1" Type="http://schemas.openxmlformats.org/officeDocument/2006/relationships/image" Target="media/image1.png"/></Relationships>
</file>

<file path=word/_rels/header1.xml.rels><?xml version="1.0" encoding="UTF-8"?><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5.jpg"/><Relationship Id="rId4" Type="http://schemas.openxmlformats.org/officeDocument/2006/relationships/image" Target="media/image2.png"/><Relationship Id="rId5" Type="http://schemas.openxmlformats.org/officeDocument/2006/relationships/hyperlink" Target="about:blank" TargetMode="External"/><Relationship Id="rId6" Type="http://schemas.openxmlformats.org/officeDocument/2006/relationships/hyperlink" Target="about:blank" TargetMode="External"/><Relationship Id="rId7" Type="http://schemas.openxmlformats.org/officeDocument/2006/relationships/hyperlink" Target="about:blank" TargetMode="External"/><Relationship Id="rId8"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