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w:t>
      </w:r>
    </w:p>
    <w:p>
      <w:pPr>
        <w:spacing w:before="40" w:after="200" w:line="264" w:lineRule="auto"/>
        <w:jc w:val="center"/>
      </w:pPr>
      <w:r>
        <w:rPr>
          <w:rFonts w:ascii="Arial" w:hAnsi="Arial" w:cs="Arial"/>
          <w:b/>
          <w:bCs/>
          <w:sz w:val="24"/>
          <w:szCs w:val="24"/>
        </w:rPr>
        <w:t xml:space="preserve">ON THE SHIPBUILDING AND SHIP REPAIR ACT</w:t>
      </w:r>
    </w:p>
    <w:p>
      <w:pPr>
        <w:spacing w:before="0" w:after="140" w:line="264" w:lineRule="auto"/>
        <w:jc w:val="both"/>
      </w:pPr>
      <w:r>
        <w:rPr>
          <w:rFonts w:ascii="Arial" w:hAnsi="Arial" w:cs="Arial"/>
          <w:sz w:val="20"/>
          <w:szCs w:val="20"/>
        </w:rPr>
        <w:t xml:space="preserve">6 July 2026</w:t>
      </w:r>
    </w:p>
    <w:p>
      <w:pPr>
        <w:spacing w:before="0" w:after="140" w:line="264" w:lineRule="auto"/>
        <w:jc w:val="both"/>
      </w:pPr>
      <w:r>
        <w:rPr>
          <w:rFonts w:ascii="Arial" w:hAnsi="Arial" w:cs="Arial"/>
          <w:sz w:val="20"/>
          <w:szCs w:val="20"/>
        </w:rPr>
        <w:t xml:space="preserve">For: House Committee on Trade and Industry</w:t>
      </w:r>
    </w:p>
    <w:p>
      <w:pPr>
        <w:spacing w:before="0" w:after="140" w:line="264" w:lineRule="auto"/>
        <w:jc w:val="both"/>
      </w:pPr>
      <w:r>
        <w:rPr>
          <w:rFonts w:ascii="Arial" w:hAnsi="Arial" w:cs="Arial"/>
          <w:sz w:val="20"/>
          <w:szCs w:val="20"/>
        </w:rPr>
        <w:t xml:space="preserve">Reference: Request for comments/position paper on shipbuilding and ship repair measures and related House bills</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objective of strengthening the Philippine shipbuilding and ship repair industry. A stronger domestic maritime industrial base can support employment, inter-island connectivity, disaster response capability, coastal logistics, and the competitiveness of port and coastal economies.</w:t>
      </w:r>
    </w:p>
    <w:p>
      <w:pPr>
        <w:spacing w:before="0" w:after="140" w:line="264" w:lineRule="auto"/>
        <w:jc w:val="both"/>
      </w:pPr>
      <w:r>
        <w:rPr>
          <w:rFonts w:ascii="Arial" w:hAnsi="Arial" w:cs="Arial"/>
          <w:sz w:val="20"/>
          <w:szCs w:val="20"/>
        </w:rPr>
        <w:t xml:space="preserve">ULAP respectfully submits that the measure should proceed with safeguards that recognize the direct role of local governments in land use, zoning, permitting coordination, environmental management, coastal resource governance, local roads and utilities, disaster risk reduction, and community relations. The industry carries national strategic importance, yet its physical footprint is local. Shipyards, repair facilities, ancillary suppliers, ports, access roads, waste streams, worker housing, and coastal communities will be managed first in LGU jurisdictions.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The policy objective is sound. The Philippines is an archipelagic country and should have a stronger capacity to build, repair, maintain, and modernize vessels that serve commerce, fisheries, local transport, public safety, and emergency response. The law can also create opportunities for local employment, technical training, and investment in coastal and port-adjacent areas.</w:t>
      </w:r>
    </w:p>
    <w:p>
      <w:pPr>
        <w:spacing w:before="0" w:after="140" w:line="264" w:lineRule="auto"/>
        <w:jc w:val="both"/>
      </w:pPr>
      <w:r>
        <w:rPr>
          <w:rFonts w:ascii="Arial" w:hAnsi="Arial" w:cs="Arial"/>
          <w:sz w:val="20"/>
          <w:szCs w:val="20"/>
        </w:rPr>
        <w:t xml:space="preserve">ULAP supports a framework that improves coordination among national agencies, industry, training institutions, port authorities, and LGUs. The measure will be stronger if it treats LGUs as planning and implementation partners rather than mere permitting points.</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Protect local land-use and zoning authority while streamlining coordination.</w:t>
      </w:r>
    </w:p>
    <w:p>
      <w:pPr>
        <w:spacing w:before="0" w:after="140" w:line="264" w:lineRule="auto"/>
        <w:jc w:val="both"/>
      </w:pPr>
      <w:r>
        <w:rPr>
          <w:rFonts w:ascii="Arial" w:hAnsi="Arial" w:cs="Arial"/>
          <w:sz w:val="20"/>
          <w:szCs w:val="20"/>
        </w:rPr>
        <w:t xml:space="preserve">Shipbuilding and ship repair facilities require appropriate industrial sites, waterfront access, environmental controls, transport links, worker safety systems, and community safeguards. National policy should not operate as a blanket override of comprehensive land use plans, zoning ordinances, local development plans, and coastal management arrangements.</w:t>
      </w:r>
    </w:p>
    <w:p>
      <w:pPr>
        <w:spacing w:before="0" w:after="140" w:line="264" w:lineRule="auto"/>
        <w:jc w:val="both"/>
      </w:pPr>
      <w:r>
        <w:rPr>
          <w:rFonts w:ascii="Arial" w:hAnsi="Arial" w:cs="Arial"/>
          <w:sz w:val="20"/>
          <w:szCs w:val="20"/>
        </w:rPr>
        <w:t xml:space="preserve">ULAP recommends that the law expressly require consistency with local land-use, zoning, environmental, and coastal-resource rules, while allowing national agencies and LGUs to adopt coordinated permitting timelines and standard documentary requirements.</w:t>
      </w:r>
    </w:p>
    <w:p>
      <w:pPr>
        <w:keepNext/>
        <w:spacing w:before="180" w:after="90" w:line="264" w:lineRule="auto"/>
        <w:jc w:val="both"/>
      </w:pPr>
      <w:r>
        <w:rPr>
          <w:rFonts w:ascii="Arial" w:hAnsi="Arial" w:cs="Arial"/>
          <w:b/>
          <w:bCs/>
          <w:sz w:val="20"/>
          <w:szCs w:val="20"/>
        </w:rPr>
        <w:t xml:space="preserve">2. Require LGU consultation in site designation, investment promotion, and industrial clustering.</w:t>
      </w:r>
    </w:p>
    <w:p>
      <w:pPr>
        <w:spacing w:before="0" w:after="140" w:line="264" w:lineRule="auto"/>
        <w:jc w:val="both"/>
      </w:pPr>
      <w:r>
        <w:rPr>
          <w:rFonts w:ascii="Arial" w:hAnsi="Arial" w:cs="Arial"/>
          <w:sz w:val="20"/>
          <w:szCs w:val="20"/>
        </w:rPr>
        <w:t xml:space="preserve">If the measure creates priority shipbuilding zones, incentives, industry roadmaps, or a coordinating council, LGUs hosting or affected by such facilities should participate in planning. Local governments can identify site constraints, traffic and drainage concerns, coastal conflicts, local labor and housing needs, disaster exposure, and infrastructure gaps.</w:t>
      </w:r>
    </w:p>
    <w:p>
      <w:pPr>
        <w:spacing w:before="0" w:after="140" w:line="264" w:lineRule="auto"/>
        <w:jc w:val="both"/>
      </w:pPr>
      <w:r>
        <w:rPr>
          <w:rFonts w:ascii="Arial" w:hAnsi="Arial" w:cs="Arial"/>
          <w:sz w:val="20"/>
          <w:szCs w:val="20"/>
        </w:rPr>
        <w:t xml:space="preserve">ULAP urges that host provinces, cities, and municipalities be consulted before any shipbuilding or ship repair zone is promoted, endorsed, or included in a national investment or infrastructure plan.</w:t>
      </w:r>
    </w:p>
    <w:p>
      <w:pPr>
        <w:keepNext/>
        <w:spacing w:before="180" w:after="90" w:line="264" w:lineRule="auto"/>
        <w:jc w:val="both"/>
      </w:pPr>
      <w:r>
        <w:rPr>
          <w:rFonts w:ascii="Arial" w:hAnsi="Arial" w:cs="Arial"/>
          <w:b/>
          <w:bCs/>
          <w:sz w:val="20"/>
          <w:szCs w:val="20"/>
        </w:rPr>
        <w:t xml:space="preserve">3. Clarify environmental, safety, and coastal-management responsibilities.</w:t>
      </w:r>
    </w:p>
    <w:p>
      <w:pPr>
        <w:spacing w:before="0" w:after="140" w:line="264" w:lineRule="auto"/>
        <w:jc w:val="both"/>
      </w:pPr>
      <w:r>
        <w:rPr>
          <w:rFonts w:ascii="Arial" w:hAnsi="Arial" w:cs="Arial"/>
          <w:sz w:val="20"/>
          <w:szCs w:val="20"/>
        </w:rPr>
        <w:t xml:space="preserve">Shipbuilding and repair activities may involve hazardous materials, wastewater, blasting, painting, heavy equipment, vessel waste, fire risks, shoreline modification, and worker safety concerns. These are primarily regulated by national agencies, while LGUs will be involved in local monitoring, emergency response, zoning, health and sanitation, traffic, and community complaints.</w:t>
      </w:r>
    </w:p>
    <w:p>
      <w:pPr>
        <w:spacing w:before="0" w:after="140" w:line="264" w:lineRule="auto"/>
        <w:jc w:val="both"/>
      </w:pPr>
      <w:r>
        <w:rPr>
          <w:rFonts w:ascii="Arial" w:hAnsi="Arial" w:cs="Arial"/>
          <w:sz w:val="20"/>
          <w:szCs w:val="20"/>
        </w:rPr>
        <w:t xml:space="preserve">ULAP recommends clear agency responsibility lines, with DENR, DOLE, MARINA, PPA, PCG, DILG, and other competent agencies leading the relevant technical standards. LGU assistance should be supported by standard protocols, training, and access to compliance information.</w:t>
      </w:r>
    </w:p>
    <w:p>
      <w:pPr>
        <w:keepNext/>
        <w:spacing w:before="180" w:after="90" w:line="264" w:lineRule="auto"/>
        <w:jc w:val="both"/>
      </w:pPr>
      <w:r>
        <w:rPr>
          <w:rFonts w:ascii="Arial" w:hAnsi="Arial" w:cs="Arial"/>
          <w:b/>
          <w:bCs/>
          <w:sz w:val="20"/>
          <w:szCs w:val="20"/>
        </w:rPr>
        <w:t xml:space="preserve">4. Avoid unfunded local implementation burdens.</w:t>
      </w:r>
    </w:p>
    <w:p>
      <w:pPr>
        <w:spacing w:before="0" w:after="140" w:line="264" w:lineRule="auto"/>
        <w:jc w:val="both"/>
      </w:pPr>
      <w:r>
        <w:rPr>
          <w:rFonts w:ascii="Arial" w:hAnsi="Arial" w:cs="Arial"/>
          <w:sz w:val="20"/>
          <w:szCs w:val="20"/>
        </w:rPr>
        <w:t xml:space="preserve">The law should not create new inspection, monitoring, or reporting duties for LGUs without resources and technical support. Where LGUs are expected to participate in monitoring, emergency response planning, or local investment facilitation, the implementing rules should provide templates, training, and cost-sharing arrangements.</w:t>
      </w:r>
    </w:p>
    <w:p>
      <w:pPr>
        <w:spacing w:before="0" w:after="140" w:line="264" w:lineRule="auto"/>
        <w:jc w:val="both"/>
      </w:pPr>
      <w:r>
        <w:rPr>
          <w:rFonts w:ascii="Arial" w:hAnsi="Arial" w:cs="Arial"/>
          <w:sz w:val="20"/>
          <w:szCs w:val="20"/>
        </w:rPr>
        <w:t xml:space="preserve">ULAP proposes that any mandated LGU role be tied to national technical assistance and, where necessary, funding support.</w:t>
      </w:r>
    </w:p>
    <w:p>
      <w:pPr>
        <w:keepNext/>
        <w:spacing w:before="180" w:after="90" w:line="264" w:lineRule="auto"/>
        <w:jc w:val="both"/>
      </w:pPr>
      <w:r>
        <w:rPr>
          <w:rFonts w:ascii="Arial" w:hAnsi="Arial" w:cs="Arial"/>
          <w:b/>
          <w:bCs/>
          <w:sz w:val="20"/>
          <w:szCs w:val="20"/>
        </w:rPr>
        <w:t xml:space="preserve">5. Link industry development to local employment and skills formation.</w:t>
      </w:r>
    </w:p>
    <w:p>
      <w:pPr>
        <w:spacing w:before="0" w:after="140" w:line="264" w:lineRule="auto"/>
        <w:jc w:val="both"/>
      </w:pPr>
      <w:r>
        <w:rPr>
          <w:rFonts w:ascii="Arial" w:hAnsi="Arial" w:cs="Arial"/>
          <w:sz w:val="20"/>
          <w:szCs w:val="20"/>
        </w:rPr>
        <w:t xml:space="preserve">The measure should encourage host LGUs, TESDA, schools, industry, and national agencies to develop local workforce pipelines. Local employment and skills formation will make the industry more acceptable to communities and improve the economic return of public support.</w:t>
      </w:r>
    </w:p>
    <w:p>
      <w:pPr>
        <w:spacing w:before="0" w:after="140" w:line="264" w:lineRule="auto"/>
        <w:jc w:val="both"/>
      </w:pPr>
      <w:r>
        <w:rPr>
          <w:rFonts w:ascii="Arial" w:hAnsi="Arial" w:cs="Arial"/>
          <w:sz w:val="20"/>
          <w:szCs w:val="20"/>
        </w:rPr>
        <w:t xml:space="preserve">ULAP recommends provisions encouraging local training partnerships, apprenticeship pathways, and coordination with public employment service offices and local economic development units.</w:t>
      </w:r>
    </w:p>
    <w:p>
      <w:pPr>
        <w:keepNext/>
        <w:spacing w:before="180" w:after="90" w:line="264" w:lineRule="auto"/>
        <w:jc w:val="both"/>
      </w:pPr>
      <w:r>
        <w:rPr>
          <w:rFonts w:ascii="Arial" w:hAnsi="Arial" w:cs="Arial"/>
          <w:b/>
          <w:bCs/>
          <w:sz w:val="20"/>
          <w:szCs w:val="20"/>
        </w:rPr>
        <w:t xml:space="preserve">6. Include ULAP and the LGU leagues in the IRR.</w:t>
      </w:r>
    </w:p>
    <w:p>
      <w:pPr>
        <w:spacing w:before="0" w:after="140" w:line="264" w:lineRule="auto"/>
        <w:jc w:val="both"/>
      </w:pPr>
      <w:r>
        <w:rPr>
          <w:rFonts w:ascii="Arial" w:hAnsi="Arial" w:cs="Arial"/>
          <w:sz w:val="20"/>
          <w:szCs w:val="20"/>
        </w:rPr>
        <w:t xml:space="preserve">Because implementation will affect local land use, investment facilitation, environmental management, and service delivery, ULAP and the LGU leagues should participate in drafting the IRR and in any implementation review mechanism.</w:t>
      </w:r>
    </w:p>
    <w:p>
      <w:pPr>
        <w:keepNext/>
        <w:spacing w:before="220" w:after="100" w:line="264" w:lineRule="auto"/>
        <w:jc w:val="left"/>
      </w:pPr>
      <w:r>
        <w:rPr>
          <w:rFonts w:ascii="Arial" w:hAnsi="Arial" w:cs="Arial"/>
          <w:b/>
          <w:bCs/>
          <w:sz w:val="20"/>
          <w:szCs w:val="20"/>
        </w:rPr>
        <w:t xml:space="preserve">ULAP Recommendation</w:t>
      </w:r>
    </w:p>
    <w:p>
      <w:pPr>
        <w:spacing w:before="0" w:after="140" w:line="264" w:lineRule="auto"/>
        <w:jc w:val="both"/>
      </w:pPr>
      <w:r>
        <w:rPr>
          <w:rFonts w:ascii="Arial" w:hAnsi="Arial" w:cs="Arial"/>
          <w:sz w:val="20"/>
          <w:szCs w:val="20"/>
        </w:rPr>
        <w:t xml:space="preserve">ULAP supports the development of a national shipbuilding and ship repair policy subject to amendments that preserve local land-use authority, require host-LGU consultation, clarify environmental and safety responsibilities, avoid unfunded local mandates, and include ULAP and the LGU leagues in the IRR.</w:t>
      </w:r>
    </w:p>
    <w:p>
      <w:pPr>
        <w:spacing w:before="0" w:after="140" w:line="264" w:lineRule="auto"/>
        <w:jc w:val="both"/>
      </w:pPr>
      <w:r>
        <w:rPr>
          <w:rFonts w:ascii="Arial" w:hAnsi="Arial" w:cs="Arial"/>
          <w:sz w:val="20"/>
          <w:szCs w:val="20"/>
        </w:rPr>
        <w:t xml:space="preserve">With these safeguards, the measure can advance national maritime industrial capacity while ensuring that host communities receive clear benefits, predictable standards, and workable implementation arrangements.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