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HOUSE BILL NO. 8659,</w:t>
      </w:r>
    </w:p>
    <w:p>
      <w:pPr>
        <w:spacing w:before="40" w:after="200" w:line="264" w:lineRule="auto"/>
        <w:jc w:val="center"/>
      </w:pPr>
      <w:r>
        <w:rPr>
          <w:rFonts w:ascii="Arial" w:hAnsi="Arial" w:cs="Arial"/>
          <w:b/>
          <w:bCs/>
          <w:sz w:val="24"/>
          <w:szCs w:val="24"/>
        </w:rPr>
        <w:t xml:space="preserve">THE STRENGTHENED SHARED GOVERNANCE OF BASIC EDUCATION ACT</w:t>
      </w:r>
    </w:p>
    <w:p>
      <w:pPr>
        <w:spacing w:before="0" w:after="140" w:line="264" w:lineRule="auto"/>
        <w:jc w:val="both"/>
      </w:pPr>
      <w:r>
        <w:rPr>
          <w:rFonts w:ascii="Arial" w:hAnsi="Arial" w:cs="Arial"/>
          <w:sz w:val="20"/>
          <w:szCs w:val="20"/>
        </w:rPr>
        <w:t xml:space="preserve">Submitted to the House Committee on Basic Education and Culture on the request for comments on House Bill No. 8659, the proposed Strengthened Shared Governance of Basic Education Act.</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objective of strengthening shared governance in basic education. Local governments have long been partners in school support, learner welfare, school safety, disaster readiness, local infrastructure, and community mobilization. A stronger governance framework can improve education outcomes where it clarifies roles, deepens collaboration, and provides practical support for implementation.</w:t>
      </w:r>
    </w:p>
    <w:p>
      <w:pPr>
        <w:spacing w:before="0" w:after="140" w:line="264" w:lineRule="auto"/>
        <w:jc w:val="both"/>
      </w:pPr>
      <w:r>
        <w:rPr>
          <w:rFonts w:ascii="Arial" w:hAnsi="Arial" w:cs="Arial"/>
          <w:sz w:val="20"/>
          <w:szCs w:val="20"/>
        </w:rPr>
        <w:t xml:space="preserve">ULAP submits that HB 8659 should be refined so that shared governance means a genuine national-local partnership rather than a transfer of national responsibilities to LGUs without financing, authority, or operational clarity. The measure should preserve Local School Board functions, protect the Special Education Fund, delineate DepEd and LGU responsibilities, and require ULAP and LGU league participation in the implementing rules and regulations (IRR).</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need to make education governance more responsive to local realities. Learners experience education in communities. School attendance, nutrition, transport, safety, disaster disruption, internet access, sanitation, peace and order, and household vulnerability all carry a local dimension, which makes LGUs indispensable partners.</w:t>
      </w:r>
    </w:p>
    <w:p>
      <w:pPr>
        <w:spacing w:before="0" w:after="140" w:line="264" w:lineRule="auto"/>
        <w:jc w:val="both"/>
      </w:pPr>
      <w:r>
        <w:rPr>
          <w:rFonts w:ascii="Arial" w:hAnsi="Arial" w:cs="Arial"/>
          <w:sz w:val="20"/>
          <w:szCs w:val="20"/>
        </w:rPr>
        <w:t xml:space="preserve">Basic education remains a national responsibility led by DepEd. Local support should complement the national system. It should not become a substitute for national funding, personnel, infrastructure, curriculum, or the core education obligations of the State.</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Define shared governance by function, not by general aspiration.</w:t>
      </w:r>
    </w:p>
    <w:p>
      <w:pPr>
        <w:spacing w:before="0" w:after="140" w:line="264" w:lineRule="auto"/>
        <w:jc w:val="both"/>
      </w:pPr>
      <w:r>
        <w:rPr>
          <w:rFonts w:ascii="Arial" w:hAnsi="Arial" w:cs="Arial"/>
          <w:sz w:val="20"/>
          <w:szCs w:val="20"/>
        </w:rPr>
        <w:t xml:space="preserve">The bill should clearly distinguish policy-setting, standards, curriculum, personnel, national funding, school operations, local support, and community coordination. Without functional clarity, LGUs may be expected to fill gaps without corresponding authority or resources.</w:t>
      </w:r>
    </w:p>
    <w:p>
      <w:pPr>
        <w:spacing w:before="0" w:after="140" w:line="264" w:lineRule="auto"/>
        <w:jc w:val="both"/>
      </w:pPr>
      <w:r>
        <w:rPr>
          <w:rFonts w:ascii="Arial" w:hAnsi="Arial" w:cs="Arial"/>
          <w:sz w:val="20"/>
          <w:szCs w:val="20"/>
        </w:rPr>
        <w:t xml:space="preserve">ULAP recommends a clear matrix of responsibilities for DepEd, DILG, provinces, cities, municipalities, barangays, Local School Boards, and other stakeholders. This matrix should be included in the IRR after consultation with ULAP and the LGU leagues.</w:t>
      </w:r>
    </w:p>
    <w:p>
      <w:pPr>
        <w:keepNext/>
        <w:spacing w:before="180" w:after="90" w:line="264" w:lineRule="auto"/>
        <w:jc w:val="both"/>
      </w:pPr>
      <w:r>
        <w:rPr>
          <w:rFonts w:ascii="Arial" w:hAnsi="Arial" w:cs="Arial"/>
          <w:b/>
          <w:bCs/>
          <w:sz w:val="20"/>
          <w:szCs w:val="20"/>
        </w:rPr>
        <w:t xml:space="preserve">2. Preserve Local School Boards and the Special Education Fund.</w:t>
      </w:r>
    </w:p>
    <w:p>
      <w:pPr>
        <w:spacing w:before="0" w:after="140" w:line="264" w:lineRule="auto"/>
        <w:jc w:val="both"/>
      </w:pPr>
      <w:r>
        <w:rPr>
          <w:rFonts w:ascii="Arial" w:hAnsi="Arial" w:cs="Arial"/>
          <w:sz w:val="20"/>
          <w:szCs w:val="20"/>
        </w:rPr>
        <w:t xml:space="preserve">Shared governance should reinforce the existing statutory institutions for local education support rather than bypass them. Local School Boards (LSBs) provide the venue for aligning school needs, local priorities, and Special Education Fund (SEF) resources.</w:t>
      </w:r>
    </w:p>
    <w:p>
      <w:pPr>
        <w:spacing w:before="0" w:after="140" w:line="264" w:lineRule="auto"/>
        <w:jc w:val="both"/>
      </w:pPr>
      <w:r>
        <w:rPr>
          <w:rFonts w:ascii="Arial" w:hAnsi="Arial" w:cs="Arial"/>
          <w:sz w:val="20"/>
          <w:szCs w:val="20"/>
        </w:rPr>
        <w:t xml:space="preserve">ULAP proposes that HB 8659 expressly preserve the role of LSBs and confirm that the SEF remains subject to local budget and LSB processes. Any new local education initiative should complement these mechanisms instead of creating a parallel process.</w:t>
      </w:r>
    </w:p>
    <w:p>
      <w:pPr>
        <w:keepNext/>
        <w:spacing w:before="180" w:after="90" w:line="264" w:lineRule="auto"/>
        <w:jc w:val="both"/>
      </w:pPr>
      <w:r>
        <w:rPr>
          <w:rFonts w:ascii="Arial" w:hAnsi="Arial" w:cs="Arial"/>
          <w:b/>
          <w:bCs/>
          <w:sz w:val="20"/>
          <w:szCs w:val="20"/>
        </w:rPr>
        <w:t xml:space="preserve">3. Avoid unfunded mandates on LGUs.</w:t>
      </w:r>
    </w:p>
    <w:p>
      <w:pPr>
        <w:spacing w:before="0" w:after="140" w:line="264" w:lineRule="auto"/>
        <w:jc w:val="both"/>
      </w:pPr>
      <w:r>
        <w:rPr>
          <w:rFonts w:ascii="Arial" w:hAnsi="Arial" w:cs="Arial"/>
          <w:sz w:val="20"/>
          <w:szCs w:val="20"/>
        </w:rPr>
        <w:t xml:space="preserve">If the bill expects LGUs to support new education programs, local monitoring, data submission, school safety systems, learner-support activities, or facility-related responsibilities, the law should provide the corresponding national funding, technical assistance, and implementation templates.</w:t>
      </w:r>
    </w:p>
    <w:p>
      <w:pPr>
        <w:spacing w:before="0" w:after="140" w:line="264" w:lineRule="auto"/>
        <w:jc w:val="both"/>
      </w:pPr>
      <w:r>
        <w:rPr>
          <w:rFonts w:ascii="Arial" w:hAnsi="Arial" w:cs="Arial"/>
          <w:sz w:val="20"/>
          <w:szCs w:val="20"/>
        </w:rPr>
        <w:t xml:space="preserve">The measure should therefore state that no LGU shall be treated as non-compliant where the required national technical or fiscal support has not been reasonably made available.</w:t>
      </w:r>
    </w:p>
    <w:p>
      <w:pPr>
        <w:keepNext/>
        <w:spacing w:before="180" w:after="90" w:line="264" w:lineRule="auto"/>
        <w:jc w:val="both"/>
      </w:pPr>
      <w:r>
        <w:rPr>
          <w:rFonts w:ascii="Arial" w:hAnsi="Arial" w:cs="Arial"/>
          <w:b/>
          <w:bCs/>
          <w:sz w:val="20"/>
          <w:szCs w:val="20"/>
        </w:rPr>
        <w:t xml:space="preserve">4. Make data sharing useful, lawful, and non-duplicative.</w:t>
      </w:r>
    </w:p>
    <w:p>
      <w:pPr>
        <w:spacing w:before="0" w:after="140" w:line="264" w:lineRule="auto"/>
        <w:jc w:val="both"/>
      </w:pPr>
      <w:r>
        <w:rPr>
          <w:rFonts w:ascii="Arial" w:hAnsi="Arial" w:cs="Arial"/>
          <w:sz w:val="20"/>
          <w:szCs w:val="20"/>
        </w:rPr>
        <w:t xml:space="preserve">Shared governance requires reliable data, but reporting should support decisions instead of multiplying forms. LGUs need school-level and learner-context data to target nutrition, transport, health, social welfare, and disaster-response support, while DepEd needs local information for planning.</w:t>
      </w:r>
    </w:p>
    <w:p>
      <w:pPr>
        <w:spacing w:before="0" w:after="140" w:line="264" w:lineRule="auto"/>
        <w:jc w:val="both"/>
      </w:pPr>
      <w:r>
        <w:rPr>
          <w:rFonts w:ascii="Arial" w:hAnsi="Arial" w:cs="Arial"/>
          <w:sz w:val="20"/>
          <w:szCs w:val="20"/>
        </w:rPr>
        <w:t xml:space="preserve">ULAP urges an interoperable data-sharing framework that protects privacy, defines allowable use, and avoids duplicative reporting among DepEd, DILG, LGUs, and Local School Boards.</w:t>
      </w:r>
    </w:p>
    <w:p>
      <w:pPr>
        <w:keepNext/>
        <w:spacing w:before="180" w:after="90" w:line="264" w:lineRule="auto"/>
        <w:jc w:val="both"/>
      </w:pPr>
      <w:r>
        <w:rPr>
          <w:rFonts w:ascii="Arial" w:hAnsi="Arial" w:cs="Arial"/>
          <w:b/>
          <w:bCs/>
          <w:sz w:val="20"/>
          <w:szCs w:val="20"/>
        </w:rPr>
        <w:t xml:space="preserve">5. Recognize different LGU capacities and local contexts.</w:t>
      </w:r>
    </w:p>
    <w:p>
      <w:pPr>
        <w:spacing w:before="0" w:after="140" w:line="264" w:lineRule="auto"/>
        <w:jc w:val="both"/>
      </w:pPr>
      <w:r>
        <w:rPr>
          <w:rFonts w:ascii="Arial" w:hAnsi="Arial" w:cs="Arial"/>
          <w:sz w:val="20"/>
          <w:szCs w:val="20"/>
        </w:rPr>
        <w:t xml:space="preserve">A city with strong SEF collections, a small island municipality, a geographically isolated barangay, and a disaster-prone province will not implement education-support mandates in the same way. A uniform compliance model risks deepening inequality among LGUs.</w:t>
      </w:r>
    </w:p>
    <w:p>
      <w:pPr>
        <w:spacing w:before="0" w:after="140" w:line="264" w:lineRule="auto"/>
        <w:jc w:val="both"/>
      </w:pPr>
      <w:r>
        <w:rPr>
          <w:rFonts w:ascii="Arial" w:hAnsi="Arial" w:cs="Arial"/>
          <w:sz w:val="20"/>
          <w:szCs w:val="20"/>
        </w:rPr>
        <w:t xml:space="preserve">ULAP recommends phased implementation, capacity-building support, and differentiated standards for LGUs with limited fiscal and administrative capacity.</w:t>
      </w:r>
    </w:p>
    <w:p>
      <w:pPr>
        <w:keepNext/>
        <w:spacing w:before="180" w:after="90" w:line="264" w:lineRule="auto"/>
        <w:jc w:val="both"/>
      </w:pPr>
      <w:r>
        <w:rPr>
          <w:rFonts w:ascii="Arial" w:hAnsi="Arial" w:cs="Arial"/>
          <w:b/>
          <w:bCs/>
          <w:sz w:val="20"/>
          <w:szCs w:val="20"/>
        </w:rPr>
        <w:t xml:space="preserve">6. Require ULAP and LGU league participation in the IRR and monitoring.</w:t>
      </w:r>
    </w:p>
    <w:p>
      <w:pPr>
        <w:spacing w:before="0" w:after="140" w:line="264" w:lineRule="auto"/>
        <w:jc w:val="both"/>
      </w:pPr>
      <w:r>
        <w:rPr>
          <w:rFonts w:ascii="Arial" w:hAnsi="Arial" w:cs="Arial"/>
          <w:sz w:val="20"/>
          <w:szCs w:val="20"/>
        </w:rPr>
        <w:t xml:space="preserve">Because the measure directly affects local implementation and education support, ULAP and the LGU leagues should form part of IRR development, implementation monitoring, and periodic review.</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objective of HB 8659 subject to amendments that define shared governance responsibilities, preserve Local School Boards and the SEF, prevent unfunded local mandates, establish lawful and useful data sharing, and include ULAP and the LGU leagues in the IRR.</w:t>
      </w:r>
    </w:p>
    <w:p>
      <w:pPr>
        <w:spacing w:before="0" w:after="140" w:line="264" w:lineRule="auto"/>
        <w:jc w:val="both"/>
      </w:pPr>
      <w:r>
        <w:rPr>
          <w:rFonts w:ascii="Arial" w:hAnsi="Arial" w:cs="Arial"/>
          <w:sz w:val="20"/>
          <w:szCs w:val="20"/>
        </w:rPr>
        <w:t xml:space="preserve">A stronger shared-governance law should improve collaboration without blurring accountability. With these safeguards, HB 8659 can align national education policy with local conditions and make school support more responsive to learners and communities. ULAP stands ready to work with the Committee and DepEd to finalize the measure.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