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HOUSE BILLS NOS. 3458, 4420, 6464, AND 6889,</w:t>
      </w:r>
    </w:p>
    <w:p>
      <w:pPr>
        <w:spacing w:before="40" w:after="200" w:line="264" w:lineRule="auto"/>
        <w:jc w:val="center"/>
      </w:pPr>
      <w:r>
        <w:rPr>
          <w:rFonts w:ascii="Arial" w:hAnsi="Arial" w:cs="Arial"/>
          <w:b/>
          <w:bCs/>
          <w:sz w:val="24"/>
          <w:szCs w:val="24"/>
        </w:rPr>
        <w:t xml:space="preserve">THE CLIMATE ACCOUNTABILITY (CLIMA) BILL</w:t>
      </w:r>
    </w:p>
    <w:p>
      <w:pPr>
        <w:spacing w:before="0" w:after="140" w:line="264" w:lineRule="auto"/>
        <w:jc w:val="both"/>
      </w:pPr>
      <w:r>
        <w:rPr>
          <w:rFonts w:ascii="Arial" w:hAnsi="Arial" w:cs="Arial"/>
          <w:sz w:val="20"/>
          <w:szCs w:val="20"/>
        </w:rPr>
        <w:t xml:space="preserve">Submitted to the House Committee on Climate Change on the invitation to participate in the 9 July 2026 Technical Working Group meeting on House Bills Nos. 3458, 4420, 6464, and 6889, the proposed Climate Accountability (CLIMA) Bill.</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objective of strengthening climate accountability and accelerating climate-responsive governance. Local governments face the daily consequences of climate risk: flooding, coastal erosion, heat, food and water insecurity, livelihood disruption, infrastructure damage, displacement, and recurring disaster-response costs. A national climate accountability framework can help where it gives LGUs clearer tools, financing, and institutional support.</w:t>
      </w:r>
    </w:p>
    <w:p>
      <w:pPr>
        <w:spacing w:before="0" w:after="140" w:line="264" w:lineRule="auto"/>
        <w:jc w:val="both"/>
      </w:pPr>
      <w:r>
        <w:rPr>
          <w:rFonts w:ascii="Arial" w:hAnsi="Arial" w:cs="Arial"/>
          <w:sz w:val="20"/>
          <w:szCs w:val="20"/>
        </w:rPr>
        <w:t xml:space="preserve">ULAP submits that the CLIMA Bill should proceed with amendments that protect local autonomy, clarify national and local roles, provide predictable financing and technical assistance, and calibrate reporting obligations to actual LGU capacity. Climate accountability should not collapse into local compliance paperwork. It should improve decision-making, mobilize resources, and strengthen the capacity of communities to adapt.</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ULAP recognizes the importance of climate accountability. National policy should help identify responsibilities, improve transparency, align public and private action, and ensure that climate-vulnerable communities are not left to absorb escalating risk without support.</w:t>
      </w:r>
    </w:p>
    <w:p>
      <w:pPr>
        <w:spacing w:before="0" w:after="140" w:line="264" w:lineRule="auto"/>
        <w:jc w:val="both"/>
      </w:pPr>
      <w:r>
        <w:rPr>
          <w:rFonts w:ascii="Arial" w:hAnsi="Arial" w:cs="Arial"/>
          <w:sz w:val="20"/>
          <w:szCs w:val="20"/>
        </w:rPr>
        <w:t xml:space="preserve">The bill is also timely. LGUs are already required to prepare and implement Local Climate Change Action Plans, disaster risk reduction plans, land-use plans, investment programs, and resilience projects. These instruments need better financing, technical support, and data systems. A stronger law should connect accountability to implementation capacity.</w:t>
      </w:r>
    </w:p>
    <w:p>
      <w:pPr>
        <w:keepNext/>
        <w:spacing w:before="220" w:after="100" w:line="264" w:lineRule="auto"/>
        <w:jc w:val="left"/>
      </w:pPr>
      <w:r>
        <w:rPr>
          <w:rFonts w:ascii="Arial" w:hAnsi="Arial" w:cs="Arial"/>
          <w:b/>
          <w:bCs/>
          <w:sz w:val="20"/>
          <w:szCs w:val="20"/>
        </w:rPr>
        <w:t xml:space="preserve">ULAP Position and Recommendations</w:t>
      </w:r>
    </w:p>
    <w:p>
      <w:pPr>
        <w:keepNext/>
        <w:spacing w:before="180" w:after="90" w:line="264" w:lineRule="auto"/>
        <w:jc w:val="both"/>
      </w:pPr>
      <w:r>
        <w:rPr>
          <w:rFonts w:ascii="Arial" w:hAnsi="Arial" w:cs="Arial"/>
          <w:b/>
          <w:bCs/>
          <w:sz w:val="20"/>
          <w:szCs w:val="20"/>
        </w:rPr>
        <w:t xml:space="preserve">1. Make climate accountability a national-local partnership.</w:t>
      </w:r>
    </w:p>
    <w:p>
      <w:pPr>
        <w:spacing w:before="0" w:after="140" w:line="264" w:lineRule="auto"/>
        <w:jc w:val="both"/>
      </w:pPr>
      <w:r>
        <w:rPr>
          <w:rFonts w:ascii="Arial" w:hAnsi="Arial" w:cs="Arial"/>
          <w:sz w:val="20"/>
          <w:szCs w:val="20"/>
        </w:rPr>
        <w:t xml:space="preserve">The law should recognize that LGUs implement many adaptation and resilience measures but do not control all drivers of climate risk, emissions, infrastructure exposure, or financing. Accountability should therefore be shared across national agencies, LGUs, regulated sectors, and other actors according to mandate, control, and capacity.</w:t>
      </w:r>
    </w:p>
    <w:p>
      <w:pPr>
        <w:spacing w:before="0" w:after="140" w:line="264" w:lineRule="auto"/>
        <w:jc w:val="both"/>
      </w:pPr>
      <w:r>
        <w:rPr>
          <w:rFonts w:ascii="Arial" w:hAnsi="Arial" w:cs="Arial"/>
          <w:sz w:val="20"/>
          <w:szCs w:val="20"/>
        </w:rPr>
        <w:t xml:space="preserve">ULAP recommends language clarifying that LGUs shall be accountable for functions within their lawful authority and available resources, while national agencies remain responsible for policy, standards, financing, data, capacity-building, and sectoral regulation.</w:t>
      </w:r>
    </w:p>
    <w:p>
      <w:pPr>
        <w:keepNext/>
        <w:spacing w:before="180" w:after="90" w:line="264" w:lineRule="auto"/>
        <w:jc w:val="both"/>
      </w:pPr>
      <w:r>
        <w:rPr>
          <w:rFonts w:ascii="Arial" w:hAnsi="Arial" w:cs="Arial"/>
          <w:b/>
          <w:bCs/>
          <w:sz w:val="20"/>
          <w:szCs w:val="20"/>
        </w:rPr>
        <w:t xml:space="preserve">2. Provide dedicated financing and technical assistance for LGUs.</w:t>
      </w:r>
    </w:p>
    <w:p>
      <w:pPr>
        <w:spacing w:before="0" w:after="140" w:line="264" w:lineRule="auto"/>
        <w:jc w:val="both"/>
      </w:pPr>
      <w:r>
        <w:rPr>
          <w:rFonts w:ascii="Arial" w:hAnsi="Arial" w:cs="Arial"/>
          <w:sz w:val="20"/>
          <w:szCs w:val="20"/>
        </w:rPr>
        <w:t xml:space="preserve">Climate accountability without financing will not change outcomes. LGUs need support for risk mapping, drainage and flood-control coordination, early warning systems, resilient infrastructure, coastal protection, nature-based solutions, heat action planning, water security, food systems, and community-level adaptation.</w:t>
      </w:r>
    </w:p>
    <w:p>
      <w:pPr>
        <w:spacing w:before="0" w:after="140" w:line="264" w:lineRule="auto"/>
        <w:jc w:val="both"/>
      </w:pPr>
      <w:r>
        <w:rPr>
          <w:rFonts w:ascii="Arial" w:hAnsi="Arial" w:cs="Arial"/>
          <w:sz w:val="20"/>
          <w:szCs w:val="20"/>
        </w:rPr>
        <w:t xml:space="preserve">ULAP proposes a national climate implementation support window for LGUs that prioritizes highly exposed, low-income, island, coastal, upland, and disaster-prone communities. The law should also allow technical assistance, planning templates, and pooled procurement or shared-services mechanisms for smaller LGUs.</w:t>
      </w:r>
    </w:p>
    <w:p>
      <w:pPr>
        <w:keepNext/>
        <w:spacing w:before="180" w:after="90" w:line="264" w:lineRule="auto"/>
        <w:jc w:val="both"/>
      </w:pPr>
      <w:r>
        <w:rPr>
          <w:rFonts w:ascii="Arial" w:hAnsi="Arial" w:cs="Arial"/>
          <w:b/>
          <w:bCs/>
          <w:sz w:val="20"/>
          <w:szCs w:val="20"/>
        </w:rPr>
        <w:t xml:space="preserve">3. Calibrate reporting and disclosure requirements.</w:t>
      </w:r>
    </w:p>
    <w:p>
      <w:pPr>
        <w:spacing w:before="0" w:after="140" w:line="264" w:lineRule="auto"/>
        <w:jc w:val="both"/>
      </w:pPr>
      <w:r>
        <w:rPr>
          <w:rFonts w:ascii="Arial" w:hAnsi="Arial" w:cs="Arial"/>
          <w:sz w:val="20"/>
          <w:szCs w:val="20"/>
        </w:rPr>
        <w:t xml:space="preserve">ULAP supports transparency, but local reporting should be usable and proportionate. Smaller LGUs should not be penalized for lacking data systems that national agencies have not helped build.</w:t>
      </w:r>
    </w:p>
    <w:p>
      <w:pPr>
        <w:spacing w:before="0" w:after="140" w:line="264" w:lineRule="auto"/>
        <w:jc w:val="both"/>
      </w:pPr>
      <w:r>
        <w:rPr>
          <w:rFonts w:ascii="Arial" w:hAnsi="Arial" w:cs="Arial"/>
          <w:sz w:val="20"/>
          <w:szCs w:val="20"/>
        </w:rPr>
        <w:t xml:space="preserve">ULAP urges the adoption of one integrated local climate reporting template aligned with existing LCCAP, DRRM, land-use, and investment-program requirements. The law should avoid duplicative submissions and provide a phased compliance schedule.</w:t>
      </w:r>
    </w:p>
    <w:p>
      <w:pPr>
        <w:keepNext/>
        <w:spacing w:before="180" w:after="90" w:line="264" w:lineRule="auto"/>
        <w:jc w:val="both"/>
      </w:pPr>
      <w:r>
        <w:rPr>
          <w:rFonts w:ascii="Arial" w:hAnsi="Arial" w:cs="Arial"/>
          <w:b/>
          <w:bCs/>
          <w:sz w:val="20"/>
          <w:szCs w:val="20"/>
        </w:rPr>
        <w:t xml:space="preserve">4. Protect local planning and land-use authority.</w:t>
      </w:r>
    </w:p>
    <w:p>
      <w:pPr>
        <w:spacing w:before="0" w:after="140" w:line="264" w:lineRule="auto"/>
        <w:jc w:val="both"/>
      </w:pPr>
      <w:r>
        <w:rPr>
          <w:rFonts w:ascii="Arial" w:hAnsi="Arial" w:cs="Arial"/>
          <w:sz w:val="20"/>
          <w:szCs w:val="20"/>
        </w:rPr>
        <w:t xml:space="preserve">Climate accountability will touch land use, zoning, infrastructure siting, housing, coastal management, agriculture, and local investment planning. National standards should guide risk-informed planning, but they should not automatically override local plans without consultation, transition rules, and support.</w:t>
      </w:r>
    </w:p>
    <w:p>
      <w:pPr>
        <w:spacing w:before="0" w:after="140" w:line="264" w:lineRule="auto"/>
        <w:jc w:val="both"/>
      </w:pPr>
      <w:r>
        <w:rPr>
          <w:rFonts w:ascii="Arial" w:hAnsi="Arial" w:cs="Arial"/>
          <w:sz w:val="20"/>
          <w:szCs w:val="20"/>
        </w:rPr>
        <w:t xml:space="preserve">ULAP recommends that climate-risk standards be treated as mandatory planning inputs, incorporated through local planning, public consultation, and sanggunian action, subject to urgent restrictions already provided by law for danger zones and public safety.</w:t>
      </w:r>
    </w:p>
    <w:p>
      <w:pPr>
        <w:keepNext/>
        <w:spacing w:before="180" w:after="90" w:line="264" w:lineRule="auto"/>
        <w:jc w:val="both"/>
      </w:pPr>
      <w:r>
        <w:rPr>
          <w:rFonts w:ascii="Arial" w:hAnsi="Arial" w:cs="Arial"/>
          <w:b/>
          <w:bCs/>
          <w:sz w:val="20"/>
          <w:szCs w:val="20"/>
        </w:rPr>
        <w:t xml:space="preserve">5. Recognize archipelagic, coastal, and highly exposed LGUs.</w:t>
      </w:r>
    </w:p>
    <w:p>
      <w:pPr>
        <w:spacing w:before="0" w:after="140" w:line="264" w:lineRule="auto"/>
        <w:jc w:val="both"/>
      </w:pPr>
      <w:r>
        <w:rPr>
          <w:rFonts w:ascii="Arial" w:hAnsi="Arial" w:cs="Arial"/>
          <w:sz w:val="20"/>
          <w:szCs w:val="20"/>
        </w:rPr>
        <w:t xml:space="preserve">The Philippine climate-risk profile is uneven. Island municipalities, coastal cities, upland provinces, floodplain barangays, and agricultural communities face different exposure and adaptation costs.</w:t>
      </w:r>
    </w:p>
    <w:p>
      <w:pPr>
        <w:spacing w:before="0" w:after="140" w:line="264" w:lineRule="auto"/>
        <w:jc w:val="both"/>
      </w:pPr>
      <w:r>
        <w:rPr>
          <w:rFonts w:ascii="Arial" w:hAnsi="Arial" w:cs="Arial"/>
          <w:sz w:val="20"/>
          <w:szCs w:val="20"/>
        </w:rPr>
        <w:t xml:space="preserve">The bill should expressly prioritize support for LGUs with high exposure and low fiscal capacity, and national climate programs should recognize inter-LGU watershed, bay, river-basin, and coastal-management arrangements.</w:t>
      </w:r>
    </w:p>
    <w:p>
      <w:pPr>
        <w:keepNext/>
        <w:spacing w:before="180" w:after="90" w:line="264" w:lineRule="auto"/>
        <w:jc w:val="both"/>
      </w:pPr>
      <w:r>
        <w:rPr>
          <w:rFonts w:ascii="Arial" w:hAnsi="Arial" w:cs="Arial"/>
          <w:b/>
          <w:bCs/>
          <w:sz w:val="20"/>
          <w:szCs w:val="20"/>
        </w:rPr>
        <w:t xml:space="preserve">6. Include ULAP and the LGU leagues in the IRR and implementation review.</w:t>
      </w:r>
    </w:p>
    <w:p>
      <w:pPr>
        <w:spacing w:before="0" w:after="140" w:line="264" w:lineRule="auto"/>
        <w:jc w:val="both"/>
      </w:pPr>
      <w:r>
        <w:rPr>
          <w:rFonts w:ascii="Arial" w:hAnsi="Arial" w:cs="Arial"/>
          <w:sz w:val="20"/>
          <w:szCs w:val="20"/>
        </w:rPr>
        <w:t xml:space="preserve">Because implementation will involve local planning, budgeting, reporting, and resilience investments, ULAP and the LGU leagues should participate in the implementing rules and regulations (IRR), technical guidelines, and periodic implementation review.</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CLIMA Bill subject to amendments that make accountability mandate-based and capacity-sensitive, provide dedicated LGU financing and technical assistance, integrate reporting with existing local plans, protect local land-use authority, prioritize highly exposed communities, and include ULAP and the LGU leagues in the IRR.</w:t>
      </w:r>
    </w:p>
    <w:p>
      <w:pPr>
        <w:spacing w:before="0" w:after="140" w:line="264" w:lineRule="auto"/>
        <w:jc w:val="both"/>
      </w:pPr>
      <w:r>
        <w:rPr>
          <w:rFonts w:ascii="Arial" w:hAnsi="Arial" w:cs="Arial"/>
          <w:sz w:val="20"/>
          <w:szCs w:val="20"/>
        </w:rPr>
        <w:t xml:space="preserve">The measure can help turn climate accountability into climate delivery. With these safeguards, the law can strengthen national ambition while giving LGUs the support needed to protect communities on the ground. ULAP stands ready to work with the Committee and the concerned agencies to refine the measure.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