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INPUTS ON THE 2026 HLPF LOCAL AUTHORITIES MAJOR GROUP POSITION PAPER</w:t>
      </w:r>
    </w:p>
    <w:p>
      <w:pPr>
        <w:spacing w:before="40" w:after="200" w:line="264" w:lineRule="auto"/>
        <w:jc w:val="center"/>
      </w:pPr>
      <w:r>
        <w:rPr>
          <w:rFonts w:ascii="Arial" w:hAnsi="Arial" w:cs="Arial"/>
          <w:b/>
          <w:bCs/>
          <w:sz w:val="24"/>
          <w:szCs w:val="24"/>
        </w:rPr>
        <w:t xml:space="preserve">AND GLOBAL TASKFORCE STATEMENT</w:t>
      </w:r>
    </w:p>
    <w:p>
      <w:pPr>
        <w:spacing w:before="0" w:after="140" w:line="264" w:lineRule="auto"/>
        <w:jc w:val="both"/>
      </w:pPr>
      <w:r>
        <w:rPr>
          <w:rFonts w:ascii="Arial" w:hAnsi="Arial" w:cs="Arial"/>
          <w:sz w:val="20"/>
          <w:szCs w:val="20"/>
        </w:rPr>
        <w:t xml:space="preserve">Submitted to ULAP leadership and through UCLG ASPAC and Local Authorities Major Group channels, in response to UCLG Circular No. 18/2026 on the 2026 High-Level Political Forum, the Local and Regional Governments Forum, the LAMG sectoral position paper, and the Global Taskforce statement.</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continued recognition of local and regional governments as public authorities and implementation partners in the High-Level Political Forum (HLPF), the Local and Regional Governments Forum, and the Global Taskforce process. The 2026 HLPF review of SDGs 6, 7, 9, 11, and 17 bears directly on local government functions: water and sanitation, energy access, resilient infrastructure, inclusive settlements, and partnerships for implementation.</w:t>
      </w:r>
    </w:p>
    <w:p>
      <w:pPr>
        <w:spacing w:before="0" w:after="140" w:line="264" w:lineRule="auto"/>
        <w:jc w:val="both"/>
      </w:pPr>
      <w:r>
        <w:rPr>
          <w:rFonts w:ascii="Arial" w:hAnsi="Arial" w:cs="Arial"/>
          <w:sz w:val="20"/>
          <w:szCs w:val="20"/>
        </w:rPr>
        <w:t xml:space="preserve">ULAP submits that Philippine local and regional government inputs should emphasize localization, local fiscal empowerment, climate and disaster resilience, data capacity, infrastructure delivery, archipelagic and coastal realities, and meaningful multilevel governance. These points are consistent with the constituency's global advocacy while grounding the Philippine contribution in the actual conditions of LGUs.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value of the LAMG position paper and the Global Taskforce statement. These instruments help consolidate the perspective of local and regional governments in UN processes. They affirm that SDG delivery depends on local institutions that plan, invest, regulate, deliver services, mobilize communities, and respond to shocks.</w:t>
      </w:r>
    </w:p>
    <w:p>
      <w:pPr>
        <w:spacing w:before="0" w:after="140" w:line="264" w:lineRule="auto"/>
        <w:jc w:val="both"/>
      </w:pPr>
      <w:r>
        <w:rPr>
          <w:rFonts w:ascii="Arial" w:hAnsi="Arial" w:cs="Arial"/>
          <w:sz w:val="20"/>
          <w:szCs w:val="20"/>
        </w:rPr>
        <w:t xml:space="preserve">For the Philippines, this message carries particular weight. LGUs are responsible for many practical conditions that determine whether the SDGs are felt by households: access to water, sanitation, local roads, health and social services, land-use planning, disaster risk reduction, local economic development, housing coordination, environmental management, and community participation.</w:t>
      </w:r>
    </w:p>
    <w:p>
      <w:pPr>
        <w:keepNext/>
        <w:spacing w:before="220" w:after="100" w:line="264" w:lineRule="auto"/>
        <w:jc w:val="left"/>
      </w:pPr>
      <w:r>
        <w:rPr>
          <w:rFonts w:ascii="Arial" w:hAnsi="Arial" w:cs="Arial"/>
          <w:b/>
          <w:bCs/>
          <w:sz w:val="20"/>
          <w:szCs w:val="20"/>
        </w:rPr>
        <w:t xml:space="preserve">ULAP Position and Inputs</w:t>
      </w:r>
    </w:p>
    <w:p>
      <w:pPr>
        <w:keepNext/>
        <w:spacing w:before="180" w:after="90" w:line="264" w:lineRule="auto"/>
        <w:jc w:val="both"/>
      </w:pPr>
      <w:r>
        <w:rPr>
          <w:rFonts w:ascii="Arial" w:hAnsi="Arial" w:cs="Arial"/>
          <w:b/>
          <w:bCs/>
          <w:sz w:val="20"/>
          <w:szCs w:val="20"/>
        </w:rPr>
        <w:t xml:space="preserve">1. Affirm local and regional governments as public authorities in SDG implementation.</w:t>
      </w:r>
    </w:p>
    <w:p>
      <w:pPr>
        <w:spacing w:before="0" w:after="140" w:line="264" w:lineRule="auto"/>
        <w:jc w:val="both"/>
      </w:pPr>
      <w:r>
        <w:rPr>
          <w:rFonts w:ascii="Arial" w:hAnsi="Arial" w:cs="Arial"/>
          <w:sz w:val="20"/>
          <w:szCs w:val="20"/>
        </w:rPr>
        <w:t xml:space="preserve">ULAP supports language recognizing local and regional governments as public authorities with democratic mandates, statutory responsibilities, and implementation roles. This recognition should complement the intergovernmental character of the UN while making clear that local governments supply ground-level evidence and delivery capacity.</w:t>
      </w:r>
    </w:p>
    <w:p>
      <w:pPr>
        <w:keepNext/>
        <w:spacing w:before="180" w:after="90" w:line="264" w:lineRule="auto"/>
        <w:jc w:val="both"/>
      </w:pPr>
      <w:r>
        <w:rPr>
          <w:rFonts w:ascii="Arial" w:hAnsi="Arial" w:cs="Arial"/>
          <w:b/>
          <w:bCs/>
          <w:sz w:val="20"/>
          <w:szCs w:val="20"/>
        </w:rPr>
        <w:t xml:space="preserve">2. Strengthen the call for local fiscal empowerment.</w:t>
      </w:r>
    </w:p>
    <w:p>
      <w:pPr>
        <w:spacing w:before="0" w:after="140" w:line="264" w:lineRule="auto"/>
        <w:jc w:val="both"/>
      </w:pPr>
      <w:r>
        <w:rPr>
          <w:rFonts w:ascii="Arial" w:hAnsi="Arial" w:cs="Arial"/>
          <w:sz w:val="20"/>
          <w:szCs w:val="20"/>
        </w:rPr>
        <w:t xml:space="preserve">SDG localization requires financing. Local governments cannot implement water, sanitation, resilience, infrastructure, housing, and service-delivery commitments through planning mandates alone.</w:t>
      </w:r>
    </w:p>
    <w:p>
      <w:pPr>
        <w:spacing w:before="0" w:after="140" w:line="264" w:lineRule="auto"/>
        <w:jc w:val="both"/>
      </w:pPr>
      <w:r>
        <w:rPr>
          <w:rFonts w:ascii="Arial" w:hAnsi="Arial" w:cs="Arial"/>
          <w:sz w:val="20"/>
          <w:szCs w:val="20"/>
        </w:rPr>
        <w:t xml:space="preserve">ULAP recommends stronger language on predictable local finance, direct access to climate and development financing where appropriate, transparent intergovernmental transfers, and support for creditworthy and fiscally responsible local investment.</w:t>
      </w:r>
    </w:p>
    <w:p>
      <w:pPr>
        <w:keepNext/>
        <w:spacing w:before="180" w:after="90" w:line="264" w:lineRule="auto"/>
        <w:jc w:val="both"/>
      </w:pPr>
      <w:r>
        <w:rPr>
          <w:rFonts w:ascii="Arial" w:hAnsi="Arial" w:cs="Arial"/>
          <w:b/>
          <w:bCs/>
          <w:sz w:val="20"/>
          <w:szCs w:val="20"/>
        </w:rPr>
        <w:t xml:space="preserve">3. Highlight archipelagic, coastal, and climate-vulnerable local governments.</w:t>
      </w:r>
    </w:p>
    <w:p>
      <w:pPr>
        <w:spacing w:before="0" w:after="140" w:line="264" w:lineRule="auto"/>
        <w:jc w:val="both"/>
      </w:pPr>
      <w:r>
        <w:rPr>
          <w:rFonts w:ascii="Arial" w:hAnsi="Arial" w:cs="Arial"/>
          <w:sz w:val="20"/>
          <w:szCs w:val="20"/>
        </w:rPr>
        <w:t xml:space="preserve">The Philippine experience shows that geography matters. Island municipalities, coastal cities, upland provinces, flood-prone barangays, and highly urbanized settlements face different costs and risks.</w:t>
      </w:r>
    </w:p>
    <w:p>
      <w:pPr>
        <w:spacing w:before="0" w:after="140" w:line="264" w:lineRule="auto"/>
        <w:jc w:val="both"/>
      </w:pPr>
      <w:r>
        <w:rPr>
          <w:rFonts w:ascii="Arial" w:hAnsi="Arial" w:cs="Arial"/>
          <w:sz w:val="20"/>
          <w:szCs w:val="20"/>
        </w:rPr>
        <w:t xml:space="preserve">ULAP urges the LAMG and Global Taskforce messages to recognize the needs of archipelagic and coastal local governments, particularly in water security, sanitation, resilient infrastructure, disaster risk reduction, nature-based solutions, and climate adaptation.</w:t>
      </w:r>
    </w:p>
    <w:p>
      <w:pPr>
        <w:keepNext/>
        <w:spacing w:before="180" w:after="90" w:line="264" w:lineRule="auto"/>
        <w:jc w:val="both"/>
      </w:pPr>
      <w:r>
        <w:rPr>
          <w:rFonts w:ascii="Arial" w:hAnsi="Arial" w:cs="Arial"/>
          <w:b/>
          <w:bCs/>
          <w:sz w:val="20"/>
          <w:szCs w:val="20"/>
        </w:rPr>
        <w:t xml:space="preserve">4. Link SDG 11 with land-use planning, housing, local transport, and disaster resilience.</w:t>
      </w:r>
    </w:p>
    <w:p>
      <w:pPr>
        <w:spacing w:before="0" w:after="140" w:line="264" w:lineRule="auto"/>
        <w:jc w:val="both"/>
      </w:pPr>
      <w:r>
        <w:rPr>
          <w:rFonts w:ascii="Arial" w:hAnsi="Arial" w:cs="Arial"/>
          <w:sz w:val="20"/>
          <w:szCs w:val="20"/>
        </w:rPr>
        <w:t xml:space="preserve">Inclusive, safe, resilient, and sustainable settlements require local planning authority and resources. ULAP supports stronger recognition of comprehensive land-use planning, risk-informed zoning, housing coordination, local transport, public spaces, and local infrastructure as practical instruments for SDG 11 delivery.</w:t>
      </w:r>
    </w:p>
    <w:p>
      <w:pPr>
        <w:keepNext/>
        <w:spacing w:before="180" w:after="90" w:line="264" w:lineRule="auto"/>
        <w:jc w:val="both"/>
      </w:pPr>
      <w:r>
        <w:rPr>
          <w:rFonts w:ascii="Arial" w:hAnsi="Arial" w:cs="Arial"/>
          <w:b/>
          <w:bCs/>
          <w:sz w:val="20"/>
          <w:szCs w:val="20"/>
        </w:rPr>
        <w:t xml:space="preserve">5. Treat data capacity as an implementation issue, not merely a reporting issue.</w:t>
      </w:r>
    </w:p>
    <w:p>
      <w:pPr>
        <w:spacing w:before="0" w:after="140" w:line="264" w:lineRule="auto"/>
        <w:jc w:val="both"/>
      </w:pPr>
      <w:r>
        <w:rPr>
          <w:rFonts w:ascii="Arial" w:hAnsi="Arial" w:cs="Arial"/>
          <w:sz w:val="20"/>
          <w:szCs w:val="20"/>
        </w:rPr>
        <w:t xml:space="preserve">Local governments need usable data to plan, budget, monitor, and report. Many LGUs, however, lack interoperable systems, geospatial tools, and staff capacity.</w:t>
      </w:r>
    </w:p>
    <w:p>
      <w:pPr>
        <w:spacing w:before="0" w:after="140" w:line="264" w:lineRule="auto"/>
        <w:jc w:val="both"/>
      </w:pPr>
      <w:r>
        <w:rPr>
          <w:rFonts w:ascii="Arial" w:hAnsi="Arial" w:cs="Arial"/>
          <w:sz w:val="20"/>
          <w:szCs w:val="20"/>
        </w:rPr>
        <w:t xml:space="preserve">ULAP proposes that the HLPF message call for national and international support for local data systems, voluntary local reviews, voluntary subnational reviews, and data partnerships that serve local decision-making rather than only global reporting.</w:t>
      </w:r>
    </w:p>
    <w:p>
      <w:pPr>
        <w:keepNext/>
        <w:spacing w:before="180" w:after="90" w:line="264" w:lineRule="auto"/>
        <w:jc w:val="both"/>
      </w:pPr>
      <w:r>
        <w:rPr>
          <w:rFonts w:ascii="Arial" w:hAnsi="Arial" w:cs="Arial"/>
          <w:b/>
          <w:bCs/>
          <w:sz w:val="20"/>
          <w:szCs w:val="20"/>
        </w:rPr>
        <w:t xml:space="preserve">6. Promote multilevel governance that includes local governments early.</w:t>
      </w:r>
    </w:p>
    <w:p>
      <w:pPr>
        <w:spacing w:before="0" w:after="140" w:line="264" w:lineRule="auto"/>
        <w:jc w:val="both"/>
      </w:pPr>
      <w:r>
        <w:rPr>
          <w:rFonts w:ascii="Arial" w:hAnsi="Arial" w:cs="Arial"/>
          <w:sz w:val="20"/>
          <w:szCs w:val="20"/>
        </w:rPr>
        <w:t xml:space="preserve">Local governments should be involved in national SDG policy, implementation design, and monitoring. Consultation after targets and programs are finalized comes too late to shape delivery.</w:t>
      </w:r>
    </w:p>
    <w:p>
      <w:pPr>
        <w:spacing w:before="0" w:after="140" w:line="264" w:lineRule="auto"/>
        <w:jc w:val="both"/>
      </w:pPr>
      <w:r>
        <w:rPr>
          <w:rFonts w:ascii="Arial" w:hAnsi="Arial" w:cs="Arial"/>
          <w:sz w:val="20"/>
          <w:szCs w:val="20"/>
        </w:rPr>
        <w:t xml:space="preserve">ULAP recommends language calling for structured national-local coordination, participation of local government associations, and regular involvement of local governments in national SDG reviews and international reporting.</w:t>
      </w:r>
    </w:p>
    <w:p>
      <w:pPr>
        <w:keepNext/>
        <w:spacing w:before="180" w:after="90" w:line="264" w:lineRule="auto"/>
        <w:jc w:val="both"/>
      </w:pPr>
      <w:r>
        <w:rPr>
          <w:rFonts w:ascii="Arial" w:hAnsi="Arial" w:cs="Arial"/>
          <w:b/>
          <w:bCs/>
          <w:sz w:val="20"/>
          <w:szCs w:val="20"/>
        </w:rPr>
        <w:t xml:space="preserve">7. Recognize local government associations as implementation partners.</w:t>
      </w:r>
    </w:p>
    <w:p>
      <w:pPr>
        <w:spacing w:before="0" w:after="140" w:line="264" w:lineRule="auto"/>
        <w:jc w:val="both"/>
      </w:pPr>
      <w:r>
        <w:rPr>
          <w:rFonts w:ascii="Arial" w:hAnsi="Arial" w:cs="Arial"/>
          <w:sz w:val="20"/>
          <w:szCs w:val="20"/>
        </w:rPr>
        <w:t xml:space="preserve">Associations such as ULAP, the LGU leagues, UCLG ASPAC, and UCLG help consolidate local perspectives, share practice, and connect local leaders to national and international policy processes.</w:t>
      </w:r>
    </w:p>
    <w:p>
      <w:pPr>
        <w:spacing w:before="0" w:after="140" w:line="264" w:lineRule="auto"/>
        <w:jc w:val="both"/>
      </w:pPr>
      <w:r>
        <w:rPr>
          <w:rFonts w:ascii="Arial" w:hAnsi="Arial" w:cs="Arial"/>
          <w:sz w:val="20"/>
          <w:szCs w:val="20"/>
        </w:rPr>
        <w:t xml:space="preserve">These associations should be recognized as partners in capacity-building, policy feedback, peer learning, and SDG localization.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LAMG and Global Taskforce messages for the 2026 HLPF and recommends that any Philippine local government input emphasize local fiscal empowerment, archipelagic and climate-vulnerable LGUs, risk-informed local planning, data capacity, meaningful multilevel governance, and the role of local government associations.</w:t>
      </w:r>
    </w:p>
    <w:p>
      <w:pPr>
        <w:spacing w:before="0" w:after="140" w:line="264" w:lineRule="auto"/>
        <w:jc w:val="both"/>
      </w:pPr>
      <w:r>
        <w:rPr>
          <w:rFonts w:ascii="Arial" w:hAnsi="Arial" w:cs="Arial"/>
          <w:sz w:val="20"/>
          <w:szCs w:val="20"/>
        </w:rPr>
        <w:t xml:space="preserve">These points will help ensure that the global statement reflects not only the principle of localization but the practical conditions required for LGUs to deliver the SDGs in communities.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