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HOUSE BILLS NOS. 1613, 6948, 7902, AND 8353,</w:t>
      </w:r>
    </w:p>
    <w:p>
      <w:pPr>
        <w:spacing w:before="40" w:after="200" w:line="264" w:lineRule="auto"/>
        <w:jc w:val="center"/>
      </w:pPr>
      <w:r>
        <w:rPr>
          <w:rFonts w:ascii="Arial" w:hAnsi="Arial" w:cs="Arial"/>
          <w:b/>
          <w:bCs/>
          <w:sz w:val="24"/>
          <w:szCs w:val="24"/>
        </w:rPr>
        <w:t xml:space="preserve">THE PROPOSED NATIONAL COASTAL GREENBELT PROGRAM</w:t>
      </w:r>
    </w:p>
    <w:p>
      <w:pPr>
        <w:spacing w:before="0" w:after="140" w:line="264" w:lineRule="auto"/>
        <w:jc w:val="both"/>
      </w:pPr>
      <w:r>
        <w:rPr>
          <w:rFonts w:ascii="Arial" w:hAnsi="Arial" w:cs="Arial"/>
          <w:sz w:val="20"/>
          <w:szCs w:val="20"/>
        </w:rPr>
        <w:t xml:space="preserve">The Union of Local Authorities of the Philippines (ULAP), as the national umbrella organization of all leagues of local government units (LGUs) and local officials, supports the enactment of a national policy to restore and protect mangroves, beach forests, and other coastal greenbelt systems. A credible coastal greenbelt law can strengthen disaster resilience, protect fisheries habitats, reduce shoreline erosion and storm-surge exposure, and improve the long-term viability of coastal communities.</w:t>
      </w:r>
    </w:p>
    <w:p>
      <w:pPr>
        <w:spacing w:before="0" w:after="140" w:line="264" w:lineRule="auto"/>
        <w:jc w:val="both"/>
      </w:pPr>
      <w:r>
        <w:rPr>
          <w:rFonts w:ascii="Arial" w:hAnsi="Arial" w:cs="Arial"/>
          <w:sz w:val="20"/>
          <w:szCs w:val="20"/>
        </w:rPr>
        <w:t xml:space="preserve">On review of the pending bills, however, ULAP finds that the present formulations can still operate as de facto national land-use directives: they lack a clear local harmonization process, adequate fiscal support for LGUs, and a workable social safeguards framework for affected coastal communities. The measures are strongest where they adopt Integrated Coastal Management (ICM), community-based rehabilitation, and mangrove protection. They are weakest where designation, enforcement, and implementation burdens fall on LGUs without matching authority, financing, and transition rules.</w:t>
      </w:r>
    </w:p>
    <w:p>
      <w:pPr>
        <w:spacing w:before="0" w:after="140" w:line="264" w:lineRule="auto"/>
        <w:jc w:val="both"/>
      </w:pPr>
      <w:r>
        <w:rPr>
          <w:rFonts w:ascii="Arial" w:hAnsi="Arial" w:cs="Arial"/>
          <w:sz w:val="20"/>
          <w:szCs w:val="20"/>
        </w:rPr>
        <w:t xml:space="preserve">The local governance record explains why these safeguards matter. ULAP’s 2025 study on local maritime governance, </w:t>
      </w:r>
      <w:r>
        <w:rPr>
          <w:rFonts w:ascii="Arial" w:hAnsi="Arial" w:cs="Arial"/>
          <w:i/>
          <w:iCs/>
          <w:sz w:val="20"/>
          <w:szCs w:val="20"/>
        </w:rPr>
        <w:t xml:space="preserve">Analyzing the Framework and Dynamics of Local Maritime Governance and Coastal Management in the Philippines</w:t>
      </w:r>
      <w:r>
        <w:rPr>
          <w:rFonts w:ascii="Arial" w:hAnsi="Arial" w:cs="Arial"/>
          <w:sz w:val="20"/>
          <w:szCs w:val="20"/>
        </w:rPr>
        <w:t xml:space="preserve">, covering 579 coastal LGUs, found that only 58.5 percent had formally delineated municipal waters, only 49 percent had approved coastal management plans, and only 35 percent reported operational Bantay Dagat programs. Official statistics place fisherfolk poverty incidence at 27.4 percent in 2023. A coastal greenbelt law will succeed only if it is written for the administrative and fiscal condition of coastal LGUs as it actually is.</w:t>
      </w:r>
    </w:p>
    <w:p>
      <w:pPr>
        <w:keepNext/>
        <w:spacing w:before="220" w:after="100" w:line="264" w:lineRule="auto"/>
        <w:jc w:val="left"/>
      </w:pPr>
      <w:r>
        <w:rPr>
          <w:rFonts w:ascii="Arial" w:hAnsi="Arial" w:cs="Arial"/>
          <w:b/>
          <w:bCs/>
          <w:sz w:val="20"/>
          <w:szCs w:val="20"/>
        </w:rPr>
        <w:t xml:space="preserve">ULAP’s Position, Comments, and Recommendations</w:t>
      </w:r>
    </w:p>
    <w:p>
      <w:pPr>
        <w:keepNext/>
        <w:spacing w:before="180" w:after="90" w:line="264" w:lineRule="auto"/>
        <w:jc w:val="both"/>
      </w:pPr>
      <w:r>
        <w:rPr>
          <w:rFonts w:ascii="Arial" w:hAnsi="Arial" w:cs="Arial"/>
          <w:b/>
          <w:bCs/>
          <w:sz w:val="20"/>
          <w:szCs w:val="20"/>
        </w:rPr>
        <w:t xml:space="preserve">1. Section 5 on designated Coastal Greenbelt Zones, read with the designation provisions of the pending bills, should not operate as a self-executing amendment of CLUPs and zoning ordinances.</w:t>
      </w:r>
    </w:p>
    <w:p>
      <w:pPr>
        <w:spacing w:before="0" w:after="140" w:line="264" w:lineRule="auto"/>
        <w:jc w:val="both"/>
      </w:pPr>
      <w:r>
        <w:rPr>
          <w:rFonts w:ascii="Arial" w:hAnsi="Arial" w:cs="Arial"/>
          <w:sz w:val="20"/>
          <w:szCs w:val="20"/>
        </w:rPr>
        <w:t xml:space="preserve">The bills authorize DENR-led designation of coastal greenbelt areas and then direct that local plans and zoning ordinances be updated accordingly. House Bill No. 8353, Section 5, provides that once DENR determines a designated area, CLUPs and zoning ordinances shall be updated accordingly. House Bill No. 7902, Section 4(c), goes further: once an area is designated a priority Coastal Greenbelt Zone, no structure shall be allowed, subject only to limited exceptions for fisherfolk settlement areas and existing foreshore arrangements. For a measure that directly affects local zoning, access, and occupancy, that sequence is too abrupt.</w:t>
      </w:r>
    </w:p>
    <w:p>
      <w:pPr>
        <w:spacing w:before="0" w:after="140" w:line="264" w:lineRule="auto"/>
        <w:jc w:val="both"/>
      </w:pPr>
      <w:r>
        <w:rPr>
          <w:rFonts w:ascii="Arial" w:hAnsi="Arial" w:cs="Arial"/>
          <w:sz w:val="20"/>
          <w:szCs w:val="20"/>
        </w:rPr>
        <w:t xml:space="preserve">The problem is concrete. CLUPs and zoning ordinances are adopted through local planning, notice, hearings, and sanggunian action. If national designation functions as a practical amendment before local harmonization is complete, the LGU must enforce a restriction it has not yet validly localized, explained, budgeted for, or sequenced against settlement, mobility, livelihood, and hazard concerns. Legal ambiguity and conflict then surface at the point of implementation.</w:t>
      </w:r>
    </w:p>
    <w:p>
      <w:pPr>
        <w:spacing w:before="0" w:after="140" w:line="264" w:lineRule="auto"/>
        <w:jc w:val="both"/>
      </w:pPr>
      <w:r>
        <w:rPr>
          <w:rFonts w:ascii="Arial" w:hAnsi="Arial" w:cs="Arial"/>
          <w:sz w:val="20"/>
          <w:szCs w:val="20"/>
        </w:rPr>
        <w:t xml:space="preserve">ULAP recommends that greenbelt designation operate as a mandatory planning input and trigger for harmonization rather than an automatic override of local plans. The law should require a defined local harmonization period, sanggunian action, public consultation, and an approved transition protocol before new land-use restrictions become locally enforceable, except in areas already covered by existing easements, protected-area rules, or danger zones under current law.</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Designation of an area as a Coastal Greenbelt Zone shall serve as a mandatory basis for the harmonization of local plans and ordinances, but shall not by itself amend or invalidate an existing comprehensive land use plan, zoning ordinance, or locally approved development control measure. The concerned LGU shall, within a reasonable period to be provided in this Act’s implementing rules, undertake the required public consultation, local planning adjustments, and sanggunian action for harmonization. Until such harmonization is completed, existing lawful uses and local regulatory measures shall remain governed by applicable law, subject to existing environmental, easement, and public safety restrictions.</w:t>
      </w:r>
    </w:p>
    <w:p>
      <w:pPr>
        <w:keepNext/>
        <w:spacing w:before="180" w:after="90" w:line="264" w:lineRule="auto"/>
        <w:jc w:val="both"/>
      </w:pPr>
      <w:r>
        <w:rPr>
          <w:rFonts w:ascii="Arial" w:hAnsi="Arial" w:cs="Arial"/>
          <w:b/>
          <w:bCs/>
          <w:sz w:val="20"/>
          <w:szCs w:val="20"/>
        </w:rPr>
        <w:t xml:space="preserve">2. The one-size-fits-all spatial prescriptions, including the 100-meter minimum rehabilitation belt and the blanket no-structure rule in priority areas, should be made expressly site-specific.</w:t>
      </w:r>
    </w:p>
    <w:p>
      <w:pPr>
        <w:spacing w:before="0" w:after="140" w:line="264" w:lineRule="auto"/>
        <w:jc w:val="both"/>
      </w:pPr>
      <w:r>
        <w:rPr>
          <w:rFonts w:ascii="Arial" w:hAnsi="Arial" w:cs="Arial"/>
          <w:sz w:val="20"/>
          <w:szCs w:val="20"/>
        </w:rPr>
        <w:t xml:space="preserve">ULAP agrees that the law must be ambitious. Ambition, though, has to be matched to terrain. The coastal edge of the Philippines is not uniform: some localities hold intact mangrove belts; others are dense urban shorelines, port interfaces, fish-landing areas, river mouths, tourism strips, or legacy settlement zones. House Bill No. 7902, Section 4(c) and (d), and House Bill No. 8353, Section 4 and its related operational plans, adopt design features that are directionally sound but too rigid where applied without a formal site-differentiation process.</w:t>
      </w:r>
    </w:p>
    <w:p>
      <w:pPr>
        <w:spacing w:before="0" w:after="140" w:line="264" w:lineRule="auto"/>
        <w:jc w:val="both"/>
      </w:pPr>
      <w:r>
        <w:rPr>
          <w:rFonts w:ascii="Arial" w:hAnsi="Arial" w:cs="Arial"/>
          <w:sz w:val="20"/>
          <w:szCs w:val="20"/>
        </w:rPr>
        <w:t xml:space="preserve">The consequence is predictable in a specific way. A rule drafted for lightly settled coastlines will land on congested, already built-up shorelines where fisherfolk access, drainage corridors, evacuation routes, port operations, and local economic activity are all in play. LGUs are left to reconcile ecological targets with settlement and service-delivery realities without any statutory method for calibrated local application.</w:t>
      </w:r>
    </w:p>
    <w:p>
      <w:pPr>
        <w:spacing w:before="0" w:after="140" w:line="264" w:lineRule="auto"/>
        <w:jc w:val="both"/>
      </w:pPr>
      <w:r>
        <w:rPr>
          <w:rFonts w:ascii="Arial" w:hAnsi="Arial" w:cs="Arial"/>
          <w:sz w:val="20"/>
          <w:szCs w:val="20"/>
        </w:rPr>
        <w:t xml:space="preserve">ULAP proposes that the law retain a strong national ecological default while expressly allowing site-specific delineation based on geomorphology, hazard exposure, fisheries use, settlement conditions, tenure status, and local infrastructure needs. It should distinguish strict restoration areas, managed transition areas, fisherfolk access corridors, urban coastal retrofit zones, and already regulated easement zones. This preserves ecological credibility and keeps the statute enforceable.</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minimum spatial and rehabilitation standards under this Act shall be implemented through site-specific delineation based on scientific, social, and hazard-based assessment. The concerned LGU, with technical support from DENR and other competent agencies, may classify portions of the coastal zone into strict protection, restoration, transition, fisherfolk access, urban retrofit, or other legally appropriate management categories, provided that the ecological protection objectives of this Act are maintained and any deviation from the default standard is fully justified in the Local Coastal Greenbelt Management Action Plan.</w:t>
      </w:r>
    </w:p>
    <w:p>
      <w:pPr>
        <w:keepNext/>
        <w:spacing w:before="180" w:after="90" w:line="264" w:lineRule="auto"/>
        <w:jc w:val="both"/>
      </w:pPr>
      <w:r>
        <w:rPr>
          <w:rFonts w:ascii="Arial" w:hAnsi="Arial" w:cs="Arial"/>
          <w:b/>
          <w:bCs/>
          <w:sz w:val="20"/>
          <w:szCs w:val="20"/>
        </w:rPr>
        <w:t xml:space="preserve">3. The provisions on abandoned, undeveloped, or underutilized fishponds should be revised to add due process, local transition planning, and livelihood safeguards.</w:t>
      </w:r>
    </w:p>
    <w:p>
      <w:pPr>
        <w:spacing w:before="0" w:after="140" w:line="264" w:lineRule="auto"/>
        <w:jc w:val="both"/>
      </w:pPr>
      <w:r>
        <w:rPr>
          <w:rFonts w:ascii="Arial" w:hAnsi="Arial" w:cs="Arial"/>
          <w:sz w:val="20"/>
          <w:szCs w:val="20"/>
        </w:rPr>
        <w:t xml:space="preserve">ULAP recognizes the ecological rationale for reverting abandoned, undeveloped, or underutilized (AUU) fishponds to mangroves. House Bills Nos. 7902 and 8353 require AUU fishponds identified through joint assessment to be turned over to DENR within one year and reverted to mangroves. The present wording, however, treats ecological conversion as the first-order problem, when AUU identification, recovery of possession, tenure disputes, local fisheries management, and post-reversion livelihoods are what surface first, and at the LGU level.</w:t>
      </w:r>
    </w:p>
    <w:p>
      <w:pPr>
        <w:spacing w:before="0" w:after="140" w:line="264" w:lineRule="auto"/>
        <w:jc w:val="both"/>
      </w:pPr>
      <w:r>
        <w:rPr>
          <w:rFonts w:ascii="Arial" w:hAnsi="Arial" w:cs="Arial"/>
          <w:sz w:val="20"/>
          <w:szCs w:val="20"/>
        </w:rPr>
        <w:t xml:space="preserve">Silence on those transition questions transfers the conflict to coastal LGUs. They will be asked which leases or arrangements are delinquent, how affected workers and nearby users are treated, what replacement livelihood exists, and how the reverted area is monitored once it re-enters the mangrove estate. A technically correct reversion program can still fail administratively and politically if it is executed as a purely central turnover.</w:t>
      </w:r>
    </w:p>
    <w:p>
      <w:pPr>
        <w:spacing w:before="0" w:after="140" w:line="264" w:lineRule="auto"/>
        <w:jc w:val="both"/>
      </w:pPr>
      <w:r>
        <w:rPr>
          <w:rFonts w:ascii="Arial" w:hAnsi="Arial" w:cs="Arial"/>
          <w:sz w:val="20"/>
          <w:szCs w:val="20"/>
        </w:rPr>
        <w:t xml:space="preserve">ULAP recommends tying AUU reversion to a public inventory, notice and hearing, LGU participation in validation, and a local transition plan covering livelihood adjustment, enforcement, and post-reversion stewardship. The law should also authorize inter-LGU coastal management arrangements where the affected fishpond landscape crosses boundaries or affects shared fisheries and watershed systems.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No fishpond shall be treated as subject to reversion under this Act except after public inventory, notice, and a joint technical and legal validation process participated in by the concerned LGU. For each AUU fishpond area identified for reversion, DENR, DA-BFAR, and the concerned LGU shall prepare a transition and stewardship plan addressing tenure status, livelihood impacts, enforcement responsibilities, and post-reversion management. Reversion under this Act shall be implemented in a manner consistent with due process and with existing laws on fisherfolk protection, lease cancellation, and mangrove restoration.</w:t>
      </w:r>
    </w:p>
    <w:p>
      <w:pPr>
        <w:keepNext/>
        <w:spacing w:before="180" w:after="90" w:line="264" w:lineRule="auto"/>
        <w:jc w:val="both"/>
      </w:pPr>
      <w:r>
        <w:rPr>
          <w:rFonts w:ascii="Arial" w:hAnsi="Arial" w:cs="Arial"/>
          <w:b/>
          <w:bCs/>
          <w:sz w:val="20"/>
          <w:szCs w:val="20"/>
        </w:rPr>
        <w:t xml:space="preserve">4. The provisions requiring removal of illegal structures and corrective action against encroachments need a clear statutory social safeguards protocol.</w:t>
      </w:r>
    </w:p>
    <w:p>
      <w:pPr>
        <w:spacing w:before="0" w:after="140" w:line="264" w:lineRule="auto"/>
        <w:jc w:val="both"/>
      </w:pPr>
      <w:r>
        <w:rPr>
          <w:rFonts w:ascii="Arial" w:hAnsi="Arial" w:cs="Arial"/>
          <w:sz w:val="20"/>
          <w:szCs w:val="20"/>
        </w:rPr>
        <w:t xml:space="preserve">House Bill No. 7902, Section 4(f), and the corresponding operational plan and local committee functions in House Bill No. 8353, push removal as an early deliverable. The bills do not yet match that enforcement agenda with a local resettlement and livelihood protocol. LGUs bear the peace-and-order, human-settlement, and political consequences of how removal is carried out.</w:t>
      </w:r>
    </w:p>
    <w:p>
      <w:pPr>
        <w:spacing w:before="0" w:after="140" w:line="264" w:lineRule="auto"/>
        <w:jc w:val="both"/>
      </w:pPr>
      <w:r>
        <w:rPr>
          <w:rFonts w:ascii="Arial" w:hAnsi="Arial" w:cs="Arial"/>
          <w:sz w:val="20"/>
          <w:szCs w:val="20"/>
        </w:rPr>
        <w:t xml:space="preserve">In many coastal areas, enforcement is also a housing, social-welfare, and fisherfolk-access matter. Where the statute is clear on removal and vague on transition, the burden shifts to the LGU without protection.</w:t>
      </w:r>
    </w:p>
    <w:p>
      <w:pPr>
        <w:spacing w:before="0" w:after="140" w:line="264" w:lineRule="auto"/>
        <w:jc w:val="both"/>
      </w:pPr>
      <w:r>
        <w:rPr>
          <w:rFonts w:ascii="Arial" w:hAnsi="Arial" w:cs="Arial"/>
          <w:sz w:val="20"/>
          <w:szCs w:val="20"/>
        </w:rPr>
        <w:t xml:space="preserve">ULAP recommends that the law require a social safeguards and enforcement-sequencing protocol before any demolition or clearing in coastal greenbelt areas: inventory, classification of occupants, notice, consultation, site-specific relocation or near-site settlement options where legally required, livelihood transition measures, and a defined role for DSWD, DHSUD, DILG, and the concerned LGU.</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declaration, notice, and removal of illegal structures under this Act shall be carried out in accordance with the Urban Development and Housing Act, applicable laws on fisherfolk settlement areas, and a site-specific social safeguards protocol. No clearing or demolition affecting qualified occupants or communities shall proceed without prior inventory, consultation, and a lawful relocation, transition, or assistance plan, as may be required by law. The cost of implementing such safeguards shall not be borne by the concerned LGU alone.</w:t>
      </w:r>
    </w:p>
    <w:p>
      <w:pPr>
        <w:keepNext/>
        <w:spacing w:before="180" w:after="90" w:line="264" w:lineRule="auto"/>
        <w:jc w:val="both"/>
      </w:pPr>
      <w:r>
        <w:rPr>
          <w:rFonts w:ascii="Arial" w:hAnsi="Arial" w:cs="Arial"/>
          <w:b/>
          <w:bCs/>
          <w:sz w:val="20"/>
          <w:szCs w:val="20"/>
        </w:rPr>
        <w:t xml:space="preserve">5. The bills impose significant local planning, implementation, and reporting duties without establishing a credible support facility for LGUs.</w:t>
      </w:r>
    </w:p>
    <w:p>
      <w:pPr>
        <w:spacing w:before="0" w:after="140" w:line="264" w:lineRule="auto"/>
        <w:jc w:val="both"/>
      </w:pPr>
      <w:r>
        <w:rPr>
          <w:rFonts w:ascii="Arial" w:hAnsi="Arial" w:cs="Arial"/>
          <w:sz w:val="20"/>
          <w:szCs w:val="20"/>
        </w:rPr>
        <w:t xml:space="preserve">House Bill No. 8353, Sections 11 and 12, requires priority coastal municipalities and cities to establish a Local Technical Advisory Committee, prepare and update a Local Coastal Greenbelt Management Action Plan, align annual work and investment plans, mobilize personnel and logistics, maintain local databases, conduct corrective action, and lead rehabilitation, reforestation, and nursery work. The same logic runs through the pending bills. The appropriations clauses, by contrast, remain generic, charging initial implementation to existing agency budgets and thereafter to the annual General Appropriations Act. That is not a credible implementation architecture for the LGU side of the law.</w:t>
      </w:r>
    </w:p>
    <w:p>
      <w:pPr>
        <w:spacing w:before="0" w:after="140" w:line="264" w:lineRule="auto"/>
        <w:jc w:val="both"/>
      </w:pPr>
      <w:r>
        <w:rPr>
          <w:rFonts w:ascii="Arial" w:hAnsi="Arial" w:cs="Arial"/>
          <w:sz w:val="20"/>
          <w:szCs w:val="20"/>
        </w:rPr>
        <w:t xml:space="preserve">The gap is consequential. Coastal greenbelt work requires mapping, social preparation, enforcement, tenure validation, maintenance, monitoring, data management, and recurring inter-agency coordination. Lower-income municipalities, especially island and highly climate-vulnerable LGUs, cannot comply meaningfully where the law creates detailed obligations but no dedicated, rule-bound national support. That is the familiar path to an unfunded mandate and non-implementation.</w:t>
      </w:r>
    </w:p>
    <w:p>
      <w:pPr>
        <w:spacing w:before="0" w:after="140" w:line="264" w:lineRule="auto"/>
        <w:jc w:val="both"/>
      </w:pPr>
      <w:r>
        <w:rPr>
          <w:rFonts w:ascii="Arial" w:hAnsi="Arial" w:cs="Arial"/>
          <w:sz w:val="20"/>
          <w:szCs w:val="20"/>
        </w:rPr>
        <w:t xml:space="preserve">ULAP recommends that the law be measured by what it enables, and proposes a National Coastal Greenbelt Support Facility for LGUs with formula-based and performance-based windows for coastal mapping, nursery development, community contracting, enforcement support, post-reversion management, and localized social safeguards. Congress should also authorize a phased compliance schedule for fourth- to sixth-class municipalities and small island localities rather than assume uniform start-up capacity across all coastal LGUs.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There is hereby created a National Coastal Greenbelt Support Facility to provide concerned LGUs with technical assistance, geospatial support, planning templates, community contracting modalities, maintenance support, and access to implementation financing for the establishment and management of Coastal Greenbelt Zones. Priority in funding and technical assistance shall be given to climate-vulnerable, small island, and resource-constrained coastal LGUs. No LGU shall be deemed non-compliant for failure to perform an act under this Act where the necessary national technical or fiscal support has not been made reasonably available.</w:t>
      </w:r>
    </w:p>
    <w:p>
      <w:pPr>
        <w:keepNext/>
        <w:spacing w:before="180" w:after="90" w:line="264" w:lineRule="auto"/>
        <w:jc w:val="both"/>
      </w:pPr>
      <w:r>
        <w:rPr>
          <w:rFonts w:ascii="Arial" w:hAnsi="Arial" w:cs="Arial"/>
          <w:b/>
          <w:bCs/>
          <w:sz w:val="20"/>
          <w:szCs w:val="20"/>
        </w:rPr>
        <w:t xml:space="preserve">6. The national governance structure should include institutional LGU representation and enable inter-LGU coastal compacts.</w:t>
      </w:r>
    </w:p>
    <w:p>
      <w:pPr>
        <w:spacing w:before="0" w:after="140" w:line="264" w:lineRule="auto"/>
        <w:jc w:val="both"/>
      </w:pPr>
      <w:r>
        <w:rPr>
          <w:rFonts w:ascii="Arial" w:hAnsi="Arial" w:cs="Arial"/>
          <w:sz w:val="20"/>
          <w:szCs w:val="20"/>
        </w:rPr>
        <w:t xml:space="preserve">The bills rightly recognize the need for national coordination. Because most operative requirements will be implemented locally, that structure needs clearer institutional channels for LGU participation. House Bill No. 8353, Section 7, creates a National Coordinating Council of national agencies and sectoral representatives but reserves no seat to consolidate the local government perspective across provinces, cities, municipalities, and local officials. The Council includes the Department of the Interior and Local Government, which matters for national-local coordination; DILG participation, however, is national oversight and administrative coordination, distinct from direct LGU representation. The same section authorizes the Council to monitor and supervise local action plans, which makes representation of LGUs in national policy processes, not merely in implementation, the missing element.</w:t>
      </w:r>
    </w:p>
    <w:p>
      <w:pPr>
        <w:spacing w:before="0" w:after="140" w:line="264" w:lineRule="auto"/>
        <w:jc w:val="both"/>
      </w:pPr>
      <w:r>
        <w:rPr>
          <w:rFonts w:ascii="Arial" w:hAnsi="Arial" w:cs="Arial"/>
          <w:sz w:val="20"/>
          <w:szCs w:val="20"/>
        </w:rPr>
        <w:t xml:space="preserve">Shoreline processes, river outflows, sediment movement, fishpond landscapes, and bay-wide fisheries use do not follow municipal borders. A framework built only on national supervision of local plans will not address the coordination LGUs face on the ground. The measure is stronger if it also provides for structured national-local coordination and for cooperation among LGUs managing shared coastal systems.</w:t>
      </w:r>
    </w:p>
    <w:p>
      <w:pPr>
        <w:spacing w:before="0" w:after="140" w:line="264" w:lineRule="auto"/>
        <w:jc w:val="both"/>
      </w:pPr>
      <w:r>
        <w:rPr>
          <w:rFonts w:ascii="Arial" w:hAnsi="Arial" w:cs="Arial"/>
          <w:sz w:val="20"/>
          <w:szCs w:val="20"/>
        </w:rPr>
        <w:t xml:space="preserve">ULAP recommends that the governing council expressly include representation from the LGU leagues, consistent with the Local Government Code’s recognition of the leagues as institutional bodies that assist the National Government in formulating and implementing policies, programs, and projects affecting local governments, and that the law authorize inter-LGU coastal greenbelt compacts, consistent with the Code’s provisions allowing LGUs to group, consolidate, and coordinate their efforts, services, and resources for purposes commonly beneficial to them.</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National Coordinating Council shall include a representative of the local government sector, to be nominated through the appropriate LGU leagues under the umbrella of ULAP. The Council shall also promote and recognize inter-LGU coastal greenbelt management compacts, alliances, or similar cooperative arrangements for shared coastal systems, consistent with the Local Government Code and subject to such guidelines as may be issued under this Act.</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enactment of a National Coastal Greenbelt Program. That support will hold if the measure’s ecological objectives are paired with a clear, realistic, and locally workable implementation framework. The law will be tested in coastal municipalities dealing with incomplete data, settlement pressure, constrained fiscal space, exposed shorelines, and direct accountability to fishing and coastal communities.</w:t>
      </w:r>
    </w:p>
    <w:p>
      <w:pPr>
        <w:spacing w:before="0" w:after="140" w:line="264" w:lineRule="auto"/>
        <w:jc w:val="both"/>
      </w:pPr>
      <w:r>
        <w:rPr>
          <w:rFonts w:ascii="Arial" w:hAnsi="Arial" w:cs="Arial"/>
          <w:sz w:val="20"/>
          <w:szCs w:val="20"/>
        </w:rPr>
        <w:t xml:space="preserve">A sound coastal greenbelt law protects mangroves while taking seriously the governance and social conditions in which protection must occur. ULAP respectfully recommends the targeted refinements set out above and stands ready to work with Congress, DENR, and the concerned agencies to finalize the measure.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