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pPr>
        <w:jc w:val="left"/>
      </w:pPr>
      <w:r>
        <w:rPr>
          <w:b/>
          <w:color w:val="B23B3B"/>
          <w:sz w:val="22"/>
        </w:rPr>
        <w:t>CONFIDENTIAL — ULAP INTERNAL WORKING DRAFT</w:t>
      </w:r>
    </w:p>
    <w:p>
      <w:pPr>
        <w:jc w:val="left"/>
      </w:pPr>
      <w:r>
        <w:rPr>
          <w:i/>
          <w:color w:val="5A6473"/>
          <w:sz w:val="18"/>
        </w:rPr>
        <w:t>This is an internal working draft of the Union of Local Authorities of the Philippines (ULAP) National Executive Board. It must not be circulated, published, or forwarded outside ULAP without prior approval of the ULAP National Executive Board.</w:t>
      </w:r>
    </w:p>
    <w:p/>
    <w:p>
      <w:pPr>
        <w:spacing w:before="0" w:after="0" w:line="1980" w:lineRule="exact"/>
        <w:jc w:val="left"/>
      </w:pPr>
    </w:p>
    <w:p>
      <w:pPr>
        <w:spacing w:before="0" w:after="40" w:line="264" w:lineRule="auto"/>
        <w:jc w:val="center"/>
      </w:pPr>
      <w:r>
        <w:rPr>
          <w:rFonts w:ascii="Arial" w:hAnsi="Arial" w:cs="Arial"/>
          <w:b/>
          <w:bCs/>
          <w:sz w:val="24"/>
          <w:szCs w:val="24"/>
        </w:rPr>
        <w:t xml:space="preserve">POSITION PAPER ON THE WORKING DRAFT BILL ON</w:t>
      </w:r>
    </w:p>
    <w:p>
      <w:pPr>
        <w:spacing w:before="40" w:after="200" w:line="264" w:lineRule="auto"/>
        <w:jc w:val="center"/>
      </w:pPr>
      <w:r>
        <w:rPr>
          <w:rFonts w:ascii="Arial" w:hAnsi="Arial" w:cs="Arial"/>
          <w:b/>
          <w:bCs/>
          <w:sz w:val="24"/>
          <w:szCs w:val="24"/>
        </w:rPr>
        <w:t xml:space="preserve">THE CREATION OF THE DEPARTMENT OF FISHERIES AND AQUATIC RESOURCES</w:t>
      </w:r>
    </w:p>
    <w:p>
      <w:pPr>
        <w:spacing w:before="0" w:after="140" w:line="264" w:lineRule="auto"/>
        <w:jc w:val="both"/>
      </w:pPr>
      <w:r>
        <w:rPr>
          <w:rFonts w:ascii="Arial" w:hAnsi="Arial" w:cs="Arial"/>
          <w:sz w:val="20"/>
          <w:szCs w:val="20"/>
        </w:rPr>
        <w:t xml:space="preserve">The Union of Local Authorities of the Philippines (ULAP), as the umbrella organization representing local government units (LGUs) and their respective leagues across the country, recognizes the importance of strengthening fisheries governance and supports institutional reform that can improve fisheries science, anti-IUU enforcement, post-harvest systems, fisherfolk support, and national coordination across commercial, inter-regional, and international fisheries concerns.</w:t>
      </w:r>
    </w:p>
    <w:p>
      <w:pPr>
        <w:spacing w:before="0" w:after="140" w:line="264" w:lineRule="auto"/>
        <w:jc w:val="both"/>
      </w:pPr>
      <w:r>
        <w:rPr>
          <w:rFonts w:ascii="Arial" w:hAnsi="Arial" w:cs="Arial"/>
          <w:sz w:val="20"/>
          <w:szCs w:val="20"/>
        </w:rPr>
        <w:t xml:space="preserve">The case for reform is evident. ULAP’s findings from 579 coastal LGUs show that only 58.5 percent had formally delineated municipal waters, only 49 percent had approved coastal management plans, only 35 percent had operational Bantay Dagat programs, and nearly 60 percent had experienced illegal commercial fishing within municipal waters. Official fisheries data for 2025 placed total fisheries production at 3.96 million metric tons, a 2.5 percent decline from 2024, with decreases in commercial fisheries, marine municipal fisheries, and aquaculture. The latest official poverty statistics likewise show fisherfolk poverty incidence at 27.4 percent in 2023.</w:t>
      </w:r>
    </w:p>
    <w:p>
      <w:pPr>
        <w:spacing w:before="0" w:after="140" w:line="264" w:lineRule="auto"/>
        <w:jc w:val="both"/>
      </w:pPr>
      <w:r>
        <w:rPr>
          <w:rFonts w:ascii="Arial" w:hAnsi="Arial" w:cs="Arial"/>
          <w:sz w:val="20"/>
          <w:szCs w:val="20"/>
        </w:rPr>
        <w:t xml:space="preserve">These conditions point to the need for stronger national support, and in several respects the working draft moves in that direction. It is strongest where it seeks to reinforce research, ports, cold chain, post-harvest systems, and national coordination. The bill would be strengthened further by defining with greater precision the role of the proposed Department in relation to functions that existing law already assigns to LGUs and to other agencies. The aim is not to reduce national ambition but to secure institutional clarity. In a field already governed by the Constitution, the Local Government Code, the Philippine Fisheries Code, and several sector-specific laws, an unclear allocation of powers will eventually surface at the point of implementation rather than in the drafting.</w:t>
      </w:r>
    </w:p>
    <w:p>
      <w:pPr>
        <w:spacing w:before="0" w:after="140" w:line="264" w:lineRule="auto"/>
        <w:jc w:val="both"/>
      </w:pPr>
      <w:r>
        <w:rPr>
          <w:rFonts w:ascii="Arial" w:hAnsi="Arial" w:cs="Arial"/>
          <w:sz w:val="20"/>
          <w:szCs w:val="20"/>
        </w:rPr>
        <w:t xml:space="preserve">ULAP respectfully submits that the working draft would benefit from further refinement in four related areas: municipal waters, the scope of governance and adjudicatory bodies, the treatment of cross-sector and transferred functions, and the support architecture for local implementation.</w:t>
      </w:r>
    </w:p>
    <w:p>
      <w:pPr>
        <w:keepNext/>
        <w:spacing w:before="220" w:after="100" w:line="264" w:lineRule="auto"/>
        <w:jc w:val="left"/>
      </w:pPr>
      <w:r>
        <w:rPr>
          <w:rFonts w:ascii="Arial" w:hAnsi="Arial" w:cs="Arial"/>
          <w:b/>
          <w:bCs/>
          <w:sz w:val="20"/>
          <w:szCs w:val="20"/>
        </w:rPr>
        <w:t xml:space="preserve">ULAP’s Position, Comments, and Recommendations</w:t>
      </w:r>
    </w:p>
    <w:p>
      <w:pPr>
        <w:keepNext/>
        <w:spacing w:before="180" w:after="90" w:line="264" w:lineRule="auto"/>
        <w:jc w:val="both"/>
      </w:pPr>
      <w:r>
        <w:rPr>
          <w:rFonts w:ascii="Arial" w:hAnsi="Arial" w:cs="Arial"/>
          <w:b/>
          <w:bCs/>
          <w:sz w:val="20"/>
          <w:szCs w:val="20"/>
        </w:rPr>
        <w:t xml:space="preserve">1. The bill should state more clearly the relationship between the proposed Department and existing LGU authority in municipal waters.</w:t>
      </w:r>
    </w:p>
    <w:p>
      <w:pPr>
        <w:spacing w:before="0" w:after="140" w:line="264" w:lineRule="auto"/>
        <w:jc w:val="both"/>
      </w:pPr>
      <w:r>
        <w:rPr>
          <w:rFonts w:ascii="Arial" w:hAnsi="Arial" w:cs="Arial"/>
          <w:sz w:val="20"/>
          <w:szCs w:val="20"/>
        </w:rPr>
        <w:t xml:space="preserve">The provision on municipal waters is the most consequential part of the draft because it goes to the center of local fisheries governance. Section 3 affirms that the use of municipal waters for fisheries remains governed by Republic Act No. 8550 and Republic Act No. 7160, and that municipal fisherfolk retain preferential rights in those waters. At the same time, it provides that regulation and preservation shall be primarily the responsibility of the Department. Read together, these clauses may leave uncertainty as to whether the bill intends only to strengthen national standards, science, and coordination, or whether it also intends to recalibrate the present statutory allocation of authority.</w:t>
      </w:r>
    </w:p>
    <w:p>
      <w:pPr>
        <w:spacing w:before="0" w:after="140" w:line="264" w:lineRule="auto"/>
        <w:jc w:val="both"/>
      </w:pPr>
      <w:r>
        <w:rPr>
          <w:rFonts w:ascii="Arial" w:hAnsi="Arial" w:cs="Arial"/>
          <w:sz w:val="20"/>
          <w:szCs w:val="20"/>
        </w:rPr>
        <w:t xml:space="preserve">That point should not be left to implication. Municipal waters are not an incidental area of administration. They are the immediate resource base of municipal fisherfolk, the subject of local fisheries ordinances, and an area in which cities and municipalities bear direct legal, administrative, and political responsibility. If the intent is to preserve the existing framework while strengthening national support, the bill should say so in terms that do not qualify local authority by implication. If the intent is to alter that framework, the bill should say so equally clearly, and should also address the corresponding fiscal, personnel, and accountability consequences.</w:t>
      </w:r>
    </w:p>
    <w:p>
      <w:pPr>
        <w:spacing w:before="0" w:after="140" w:line="264" w:lineRule="auto"/>
        <w:jc w:val="both"/>
      </w:pPr>
      <w:r>
        <w:rPr>
          <w:rFonts w:ascii="Arial" w:hAnsi="Arial" w:cs="Arial"/>
          <w:sz w:val="20"/>
          <w:szCs w:val="20"/>
        </w:rPr>
        <w:t xml:space="preserve">The available evidence suggests that the more immediate problem is limited local capacity rather than excess local authority. The survey findings point to under-resourced enforcement, weak delineation, uneven planning, and incomplete local support systems. In that setting, the sounder legislative course is to preserve the present jurisdiction, ordinance-making powers, permitting functions, and enforcement role of cities and municipalities in municipal waters, while positioning the Department as the lead national agency for policy, standards, science, technical support, and enforcement coordination.</w:t>
      </w:r>
    </w:p>
    <w:p>
      <w:pPr>
        <w:spacing w:before="0" w:after="140" w:line="264" w:lineRule="auto"/>
        <w:jc w:val="both"/>
      </w:pPr>
      <w:r>
        <w:rPr>
          <w:rFonts w:ascii="Arial" w:hAnsi="Arial" w:cs="Arial"/>
          <w:sz w:val="20"/>
          <w:szCs w:val="20"/>
        </w:rPr>
        <w:t xml:space="preserve">ULAP recommends that the bill adopt a non-impairment formulation for municipal waters.</w:t>
      </w:r>
    </w:p>
    <w:p>
      <w:pPr>
        <w:ind w:left="720" w:right="360"/>
        <w:spacing w:before="90" w:after="140" w:line="264" w:lineRule="auto"/>
        <w:jc w:val="both"/>
      </w:pPr>
      <w:r>
        <w:rPr>
          <w:rFonts w:ascii="Arial" w:hAnsi="Arial" w:cs="Arial"/>
          <w:b/>
          <w:bCs/>
          <w:sz w:val="20"/>
          <w:szCs w:val="20"/>
        </w:rPr>
        <w:t xml:space="preserve">Suggested language:</w:t>
      </w:r>
      <w:r>
        <w:rPr>
          <w:rFonts w:ascii="Arial" w:hAnsi="Arial" w:cs="Arial"/>
          <w:sz w:val="20"/>
          <w:szCs w:val="20"/>
        </w:rPr>
        <w:t xml:space="preserve"> </w:t>
      </w:r>
      <w:r>
        <w:rPr>
          <w:rFonts w:ascii="Arial" w:hAnsi="Arial" w:cs="Arial"/>
          <w:i/>
          <w:iCs/>
          <w:sz w:val="20"/>
          <w:szCs w:val="20"/>
        </w:rPr>
        <w:t xml:space="preserve">The Department shall be the primary national agency for the formulation, coordination, and implementation of national fisheries policies, standards, rules, regulations, and technical guidelines for the conservation, protection, development, management, and sustainable utilization of fisheries and aquatic resources. Provided, That in municipal waters, the jurisdiction, management authority, regulatory powers, ordinance-making authority, licensing and permitting authority, enforcement powers, and other lawful functions vested in cities and municipalities under Republic Act No. 7160 and Republic Act No. 8550, as amended, shall remain with and be exercised by the concerned local government units. The Department shall provide technical assistance, scientific support, enforcement coordination, and such other lawful assistance as may be necessary to strengthen local implementation. Nothing in this Act shall be construed to transfer, diminish, qualify, supersede, or otherwise impair the authority of cities and municipalities over municipal waters as provided by existing law.</w:t>
      </w:r>
    </w:p>
    <w:p>
      <w:pPr>
        <w:keepNext/>
        <w:spacing w:before="180" w:after="90" w:line="264" w:lineRule="auto"/>
        <w:jc w:val="both"/>
      </w:pPr>
      <w:r>
        <w:rPr>
          <w:rFonts w:ascii="Arial" w:hAnsi="Arial" w:cs="Arial"/>
          <w:b/>
          <w:bCs/>
          <w:sz w:val="20"/>
          <w:szCs w:val="20"/>
        </w:rPr>
        <w:t xml:space="preserve">2. The bill should distinguish more carefully between local matters, inter-jurisdictional fisheries management, and national adjudication.</w:t>
      </w:r>
    </w:p>
    <w:p>
      <w:pPr>
        <w:spacing w:before="0" w:after="140" w:line="264" w:lineRule="auto"/>
        <w:jc w:val="both"/>
      </w:pPr>
      <w:r>
        <w:rPr>
          <w:rFonts w:ascii="Arial" w:hAnsi="Arial" w:cs="Arial"/>
          <w:sz w:val="20"/>
          <w:szCs w:val="20"/>
        </w:rPr>
        <w:t xml:space="preserve">A similar need for precision appears in the provisions on Fisheries Management Area Boards and the Fisheries Adjudication Board. The draft proposes a governance and dispute-resolution structure intended to improve fisheries management across shared resource areas. That objective is sound. The present text, however, appears broad enough to raise questions as to which matters remain within LGU authority, which are to be addressed through inter-jurisdictional fisheries mechanisms, and which properly belong to a national adjudicatory body.</w:t>
      </w:r>
    </w:p>
    <w:p>
      <w:pPr>
        <w:spacing w:before="0" w:after="140" w:line="264" w:lineRule="auto"/>
        <w:jc w:val="both"/>
      </w:pPr>
      <w:r>
        <w:rPr>
          <w:rFonts w:ascii="Arial" w:hAnsi="Arial" w:cs="Arial"/>
          <w:sz w:val="20"/>
          <w:szCs w:val="20"/>
        </w:rPr>
        <w:t xml:space="preserve">In practice, those distinctions matter. Fisheries controversies do not always present themselves in clean institutional categories. Questions involving access, ordinance enforcement, municipal waters, or local resource-use regulation may overlap with stock-management concerns, shared-resource issues, or national enforcement objectives. The bill should be careful not to create a framework that adds a new national layer without clearly delimiting where local authority ends and where regional or national mechanisms begin.</w:t>
      </w:r>
    </w:p>
    <w:p>
      <w:pPr>
        <w:spacing w:before="0" w:after="140" w:line="264" w:lineRule="auto"/>
        <w:jc w:val="both"/>
      </w:pPr>
      <w:r>
        <w:rPr>
          <w:rFonts w:ascii="Arial" w:hAnsi="Arial" w:cs="Arial"/>
          <w:sz w:val="20"/>
          <w:szCs w:val="20"/>
        </w:rPr>
        <w:t xml:space="preserve">The more workable approach is to align each institution with the function it is meant to perform. Fisheries Management Area Boards are most useful where the issue is planning, stock management, and coordination across shared fisheries areas. A national adjudicatory body is most useful where the controversy is national in character or expressly assigned by law, such as commercial fishing, inter-regional disputes, and distant water fishing. Matters arising from valid local fisheries ordinances and ordinary municipal waters enforcement should remain within the powers already vested in the concerned LGU, subject to national law and the review mechanisms otherwise provided by law.</w:t>
      </w:r>
    </w:p>
    <w:p>
      <w:pPr>
        <w:spacing w:before="0" w:after="140" w:line="264" w:lineRule="auto"/>
        <w:jc w:val="both"/>
      </w:pPr>
      <w:r>
        <w:rPr>
          <w:rFonts w:ascii="Arial" w:hAnsi="Arial" w:cs="Arial"/>
          <w:sz w:val="20"/>
          <w:szCs w:val="20"/>
        </w:rPr>
        <w:t xml:space="preserve">ULAP recommends that the governance and adjudication provisions be narrowed accordingly.</w:t>
      </w:r>
    </w:p>
    <w:p>
      <w:pPr>
        <w:ind w:left="720" w:right="360"/>
        <w:spacing w:before="90" w:after="140" w:line="264" w:lineRule="auto"/>
        <w:jc w:val="both"/>
      </w:pPr>
      <w:r>
        <w:rPr>
          <w:rFonts w:ascii="Arial" w:hAnsi="Arial" w:cs="Arial"/>
          <w:b/>
          <w:bCs/>
          <w:sz w:val="20"/>
          <w:szCs w:val="20"/>
        </w:rPr>
        <w:t xml:space="preserve">Suggested language:</w:t>
      </w:r>
      <w:r>
        <w:rPr>
          <w:rFonts w:ascii="Arial" w:hAnsi="Arial" w:cs="Arial"/>
          <w:sz w:val="20"/>
          <w:szCs w:val="20"/>
        </w:rPr>
        <w:t xml:space="preserve"> </w:t>
      </w:r>
      <w:r>
        <w:rPr>
          <w:rFonts w:ascii="Arial" w:hAnsi="Arial" w:cs="Arial"/>
          <w:i/>
          <w:iCs/>
          <w:sz w:val="20"/>
          <w:szCs w:val="20"/>
        </w:rPr>
        <w:t xml:space="preserve">Fisheries Management Area Boards shall exercise planning, coordination, and science-based fisheries management functions with respect to inter-jurisdictional resource areas, but shall not displace or impair the lawful ordinance-making, enforcement, or management powers of local government units in municipal waters. The Fisheries Adjudication Board shall exercise original jurisdiction only over violations and disputes expressly assigned to it under this Act and the Philippine Fisheries Code, particularly those involving commercial fishing, inter-jurisdictional fisheries matters, distant water fishing, and other national fisheries concerns. Nothing in this Act shall be construed to impair the enforcement of valid local fisheries ordinances or the lawful exercise by local government units of their powers in municipal waters.</w:t>
      </w:r>
    </w:p>
    <w:p>
      <w:pPr>
        <w:keepNext/>
        <w:spacing w:before="180" w:after="90" w:line="264" w:lineRule="auto"/>
        <w:jc w:val="both"/>
      </w:pPr>
      <w:r>
        <w:rPr>
          <w:rFonts w:ascii="Arial" w:hAnsi="Arial" w:cs="Arial"/>
          <w:b/>
          <w:bCs/>
          <w:sz w:val="20"/>
          <w:szCs w:val="20"/>
        </w:rPr>
        <w:t xml:space="preserve">3. The bill should frame the Department’s cross-sector role as fisheries coordination and fisheries-specific transfer, not as a broad residual authority over coastal and marine matters.</w:t>
      </w:r>
    </w:p>
    <w:p>
      <w:pPr>
        <w:spacing w:before="0" w:after="140" w:line="264" w:lineRule="auto"/>
        <w:jc w:val="both"/>
      </w:pPr>
      <w:r>
        <w:rPr>
          <w:rFonts w:ascii="Arial" w:hAnsi="Arial" w:cs="Arial"/>
          <w:sz w:val="20"/>
          <w:szCs w:val="20"/>
        </w:rPr>
        <w:t xml:space="preserve">The same drafting issue arises, in a different form, in the provisions on blue economy rationalization and the transfer of functions. Section 5 authorizes the Department to rationalize blue economy activities affecting fisheries and aquatic resources, including marine tourism, marine energy, biotechnology, marine spatial planning, and other marine industry initiatives. Section 26 would transfer LLDA fisheries functions and DENR marine and coastal programs to the proposed Department. In both instances the objective appears to be improved coherence, which is legitimate. The concern is that the present language is broad enough to create uncertainty as to the limits of the Department’s role.</w:t>
      </w:r>
    </w:p>
    <w:p>
      <w:pPr>
        <w:spacing w:before="0" w:after="140" w:line="264" w:lineRule="auto"/>
        <w:jc w:val="both"/>
      </w:pPr>
      <w:r>
        <w:rPr>
          <w:rFonts w:ascii="Arial" w:hAnsi="Arial" w:cs="Arial"/>
          <w:sz w:val="20"/>
          <w:szCs w:val="20"/>
        </w:rPr>
        <w:t xml:space="preserve">This matters because fisheries governance intersects with tourism, land use, environmental management, shoreline protection, port-adjacent development, watershed-linked coastal programs, and integrated coastal management. These are not merely subcategories of fisheries administration, even where they materially affect fisheries outcomes. They are fields of regulation and implementation already distributed across multiple agencies and, in important respects, across devolved local functions. A clause drafted too broadly may create uncertainty where the bill appears to seek coordination.</w:t>
      </w:r>
    </w:p>
    <w:p>
      <w:pPr>
        <w:spacing w:before="0" w:after="140" w:line="264" w:lineRule="auto"/>
        <w:jc w:val="both"/>
      </w:pPr>
      <w:r>
        <w:rPr>
          <w:rFonts w:ascii="Arial" w:hAnsi="Arial" w:cs="Arial"/>
          <w:sz w:val="20"/>
          <w:szCs w:val="20"/>
        </w:rPr>
        <w:t xml:space="preserve">The blue economy provision illustrates the point. Although the draft states that sectoral regulation remains with the appropriate parent agency, it does not define the scope or legal effect of the Department’s power to “rationalize” blue economy activities. It is therefore unclear whether the Department’s role is limited to fisheries-impact review, scientific or technical guidance, and inter-agency coordination, or whether the term is meant to carry broader policy-directing consequences. A similar concern arises in the transfer clause, where the phrase “marine and coastal related” is broader than what would normally be expected of a fisheries-specific reassignment.</w:t>
      </w:r>
    </w:p>
    <w:p>
      <w:pPr>
        <w:spacing w:before="0" w:after="140" w:line="264" w:lineRule="auto"/>
        <w:jc w:val="both"/>
      </w:pPr>
      <w:r>
        <w:rPr>
          <w:rFonts w:ascii="Arial" w:hAnsi="Arial" w:cs="Arial"/>
          <w:sz w:val="20"/>
          <w:szCs w:val="20"/>
        </w:rPr>
        <w:t xml:space="preserve">ULAP respectfully submits that the Department’s role in such areas should be confined to fisheries-impact review, scientific and technical guidance, and inter-agency coordination. Transfers of function should likewise be limited to programs and responsibilities that are clearly and exclusively fisheries-specific. Cross-sector coastal and environmental functions should remain with the agencies to which they are assigned by existing law, subject to formal coordination with the Department and the concerned LGUs.</w:t>
      </w:r>
    </w:p>
    <w:p>
      <w:pPr>
        <w:ind w:left="720" w:right="360"/>
        <w:spacing w:before="90" w:after="140" w:line="264" w:lineRule="auto"/>
        <w:jc w:val="both"/>
      </w:pPr>
      <w:r>
        <w:rPr>
          <w:rFonts w:ascii="Arial" w:hAnsi="Arial" w:cs="Arial"/>
          <w:b/>
          <w:bCs/>
          <w:sz w:val="20"/>
          <w:szCs w:val="20"/>
        </w:rPr>
        <w:t xml:space="preserve">Suggested language on blue economy coordination:</w:t>
      </w:r>
      <w:r>
        <w:rPr>
          <w:rFonts w:ascii="Arial" w:hAnsi="Arial" w:cs="Arial"/>
          <w:sz w:val="20"/>
          <w:szCs w:val="20"/>
        </w:rPr>
        <w:t xml:space="preserve"> </w:t>
      </w:r>
      <w:r>
        <w:rPr>
          <w:rFonts w:ascii="Arial" w:hAnsi="Arial" w:cs="Arial"/>
          <w:i/>
          <w:iCs/>
          <w:sz w:val="20"/>
          <w:szCs w:val="20"/>
        </w:rPr>
        <w:t xml:space="preserve">The authority of the Department with respect to blue economy activities shall be limited to fisheries and aquatic-resource policy coordination, fisheries-impact assessment, and the formulation of national standards or guidance for activities that materially affect fish habitats, fish stocks, or aquatic-resource sustainability. Such authority shall not be construed to confer upon the Department a general power to direct, preempt, or assume the mandates of other agencies or the devolved powers of local government units in tourism, land use, environmental management, local planning, or other sectors governed by existing law.</w:t>
      </w:r>
    </w:p>
    <w:p>
      <w:pPr>
        <w:ind w:left="720" w:right="360"/>
        <w:spacing w:before="90" w:after="140" w:line="264" w:lineRule="auto"/>
        <w:jc w:val="both"/>
      </w:pPr>
      <w:r>
        <w:rPr>
          <w:rFonts w:ascii="Arial" w:hAnsi="Arial" w:cs="Arial"/>
          <w:b/>
          <w:bCs/>
          <w:sz w:val="20"/>
          <w:szCs w:val="20"/>
        </w:rPr>
        <w:t xml:space="preserve">Suggested language on transfer of functions:</w:t>
      </w:r>
      <w:r>
        <w:rPr>
          <w:rFonts w:ascii="Arial" w:hAnsi="Arial" w:cs="Arial"/>
          <w:sz w:val="20"/>
          <w:szCs w:val="20"/>
        </w:rPr>
        <w:t xml:space="preserve"> </w:t>
      </w:r>
      <w:r>
        <w:rPr>
          <w:rFonts w:ascii="Arial" w:hAnsi="Arial" w:cs="Arial"/>
          <w:i/>
          <w:iCs/>
          <w:sz w:val="20"/>
          <w:szCs w:val="20"/>
        </w:rPr>
        <w:t xml:space="preserve">Only those functions, programs, personnel, records, and appropriations that are expressly and exclusively fisheries-specific shall be transferred to the Department under this Act. Environmental regulation, integrated coastal management, watershed-related coastal functions, and other cross-sector mandates shall remain with the agencies to which they are assigned by existing law, subject to inter-agency coordination mechanisms and without prejudice to the lawful role of concerned local government units.</w:t>
      </w:r>
    </w:p>
    <w:p>
      <w:pPr>
        <w:keepNext/>
        <w:spacing w:before="180" w:after="90" w:line="264" w:lineRule="auto"/>
        <w:jc w:val="both"/>
      </w:pPr>
      <w:r>
        <w:rPr>
          <w:rFonts w:ascii="Arial" w:hAnsi="Arial" w:cs="Arial"/>
          <w:b/>
          <w:bCs/>
          <w:sz w:val="20"/>
          <w:szCs w:val="20"/>
        </w:rPr>
        <w:t xml:space="preserve">4. The bill should match local implementation responsibilities with a clearer support mechanism and ensure that sub-provincial field presence reinforces, rather than substitutes for, existing local capacity.</w:t>
      </w:r>
    </w:p>
    <w:p>
      <w:pPr>
        <w:spacing w:before="0" w:after="140" w:line="264" w:lineRule="auto"/>
        <w:jc w:val="both"/>
      </w:pPr>
      <w:r>
        <w:rPr>
          <w:rFonts w:ascii="Arial" w:hAnsi="Arial" w:cs="Arial"/>
          <w:sz w:val="20"/>
          <w:szCs w:val="20"/>
        </w:rPr>
        <w:t xml:space="preserve">The draft appropriately recognizes that fisheries governance is implemented locally. No national department can succeed in this sector without capable local partners. For that reason, the bill would be stronger if it more clearly matched local implementation expectations with the support needed to make them workable.</w:t>
      </w:r>
    </w:p>
    <w:p>
      <w:pPr>
        <w:spacing w:before="0" w:after="140" w:line="264" w:lineRule="auto"/>
        <w:jc w:val="both"/>
      </w:pPr>
      <w:r>
        <w:rPr>
          <w:rFonts w:ascii="Arial" w:hAnsi="Arial" w:cs="Arial"/>
          <w:sz w:val="20"/>
          <w:szCs w:val="20"/>
        </w:rPr>
        <w:t xml:space="preserve">The survey findings are particularly relevant here. Among surveyed coastal LGUs, 438 identified inadequate personnel and equipment for monitoring and law enforcement as a major governance challenge; 357 cited limited financial resources; 328 cited limited technical capacity; and 282 pointed to weak enforcement of fisheries and coastal regulations. The narrative responses point in the same direction. The most frequently identified support needs were enforcement and patrol support, financial support, technical assistance, and capacity-building. The findings on Bantay Dagat capacity are similarly telling: only 35 percent of LGUs reported operational Bantay Dagat programs, 47 percent had units in place but under-resourced, and 18 percent had none at all.</w:t>
      </w:r>
    </w:p>
    <w:p>
      <w:pPr>
        <w:spacing w:before="0" w:after="140" w:line="264" w:lineRule="auto"/>
        <w:jc w:val="both"/>
      </w:pPr>
      <w:r>
        <w:rPr>
          <w:rFonts w:ascii="Arial" w:hAnsi="Arial" w:cs="Arial"/>
          <w:sz w:val="20"/>
          <w:szCs w:val="20"/>
        </w:rPr>
        <w:t xml:space="preserve">Taken together, these findings indicate that the central constraint in local fisheries governance is not the absence of formal responsibility but the insufficiency of personnel, equipment, financing, and technical support needed to discharge it effectively. Many coastal LGUs already carry frontline obligations without commensurate operational means. The bill should not assume that institutional reorganization at the center will, by itself, produce stronger local performance.</w:t>
      </w:r>
    </w:p>
    <w:p>
      <w:pPr>
        <w:spacing w:before="0" w:after="140" w:line="264" w:lineRule="auto"/>
        <w:jc w:val="both"/>
      </w:pPr>
      <w:r>
        <w:rPr>
          <w:rFonts w:ascii="Arial" w:hAnsi="Arial" w:cs="Arial"/>
          <w:sz w:val="20"/>
          <w:szCs w:val="20"/>
        </w:rPr>
        <w:t xml:space="preserve">This same consideration should inform the field-structure provision. Department presence below the provincial level may be useful, but the bill should make clear that such presence is intended to provide technical assistance, extension, and shared services rather than to operate as a parallel municipal bureaucracy. Otherwise, the measure may inadvertently create uncertainty as to whether local governments remain the primary implementing authorities in matters already devolved to them by law.</w:t>
      </w:r>
    </w:p>
    <w:p>
      <w:pPr>
        <w:spacing w:before="0" w:after="140" w:line="264" w:lineRule="auto"/>
        <w:jc w:val="both"/>
      </w:pPr>
      <w:r>
        <w:rPr>
          <w:rFonts w:ascii="Arial" w:hAnsi="Arial" w:cs="Arial"/>
          <w:sz w:val="20"/>
          <w:szCs w:val="20"/>
        </w:rPr>
        <w:t xml:space="preserve">ULAP recommends that the bill establish a dedicated municipal fisheries support facility, and that any field presence below the provincial level be framed expressly as support to LGUs.</w:t>
      </w:r>
    </w:p>
    <w:p>
      <w:pPr>
        <w:ind w:left="720" w:right="360"/>
        <w:spacing w:before="90" w:after="140" w:line="264" w:lineRule="auto"/>
        <w:jc w:val="both"/>
      </w:pPr>
      <w:r>
        <w:rPr>
          <w:rFonts w:ascii="Arial" w:hAnsi="Arial" w:cs="Arial"/>
          <w:b/>
          <w:bCs/>
          <w:sz w:val="20"/>
          <w:szCs w:val="20"/>
        </w:rPr>
        <w:t xml:space="preserve">Suggested language on local support architecture:</w:t>
      </w:r>
      <w:r>
        <w:rPr>
          <w:rFonts w:ascii="Arial" w:hAnsi="Arial" w:cs="Arial"/>
          <w:sz w:val="20"/>
          <w:szCs w:val="20"/>
        </w:rPr>
        <w:t xml:space="preserve"> </w:t>
      </w:r>
      <w:r>
        <w:rPr>
          <w:rFonts w:ascii="Arial" w:hAnsi="Arial" w:cs="Arial"/>
          <w:i/>
          <w:iCs/>
          <w:sz w:val="20"/>
          <w:szCs w:val="20"/>
        </w:rPr>
        <w:t xml:space="preserve">The Department shall establish a Municipal Fisheries Governance Support Facility to provide cities and municipalities with funding, technical assistance, digital tools, training, and implementation support for municipal waters delineation, local fisheries planning, enforcement, inter-LGU coordination, fisheries-related livelihood and post-harvest programs, and other frontline municipal fisheries functions. In allocating support, the Department shall consider the actual implementation burden, ecological exposure, and demonstrated fiscal, technical, and institutional capacity gaps of local government units. No additional implementation burden under this Act shall be imposed on local government units without corresponding national technical and fiscal support reasonably sufficient for implementation.</w:t>
      </w:r>
    </w:p>
    <w:p>
      <w:pPr>
        <w:ind w:left="720" w:right="360"/>
        <w:spacing w:before="90" w:after="140" w:line="264" w:lineRule="auto"/>
        <w:jc w:val="both"/>
      </w:pPr>
      <w:r>
        <w:rPr>
          <w:rFonts w:ascii="Arial" w:hAnsi="Arial" w:cs="Arial"/>
          <w:b/>
          <w:bCs/>
          <w:sz w:val="20"/>
          <w:szCs w:val="20"/>
        </w:rPr>
        <w:t xml:space="preserve">Suggested language on sub-provincial field presence:</w:t>
      </w:r>
      <w:r>
        <w:rPr>
          <w:rFonts w:ascii="Arial" w:hAnsi="Arial" w:cs="Arial"/>
          <w:sz w:val="20"/>
          <w:szCs w:val="20"/>
        </w:rPr>
        <w:t xml:space="preserve"> </w:t>
      </w:r>
      <w:r>
        <w:rPr>
          <w:rFonts w:ascii="Arial" w:hAnsi="Arial" w:cs="Arial"/>
          <w:i/>
          <w:iCs/>
          <w:sz w:val="20"/>
          <w:szCs w:val="20"/>
        </w:rPr>
        <w:t xml:space="preserve">The Department may establish field presence below the provincial level only for technical assistance, extension, shared services, or other support functions. Such field presence shall be coordinated with the concerned local government unit and shall not be construed as superseding the devolved powers, offices, or regulatory authority of the city or municipality under existing law.</w:t>
      </w:r>
    </w:p>
    <w:p>
      <w:pPr>
        <w:spacing w:before="160" w:after="160" w:line="264" w:lineRule="auto"/>
        <w:jc w:val="center"/>
      </w:pPr>
      <w:r>
        <w:rPr>
          <w:rFonts w:ascii="Arial" w:hAnsi="Arial" w:cs="Arial"/>
          <w:b/>
          <w:bCs/>
          <w:i/>
          <w:iCs/>
          <w:sz w:val="22"/>
          <w:szCs w:val="22"/>
        </w:rPr>
        <w:t xml:space="preserve"> </w:t>
      </w:r>
      <w:r>
        <w:rPr>
          <w:rFonts w:ascii="Arial" w:hAnsi="Arial" w:cs="Arial"/>
          <w:b/>
          <w:bCs/>
          <w:sz w:val="22"/>
          <w:szCs w:val="22"/>
        </w:rPr>
        <w:t xml:space="preserve"> *</w:t>
      </w:r>
    </w:p>
    <w:p>
      <w:pPr>
        <w:spacing w:before="0" w:after="140" w:line="264" w:lineRule="auto"/>
        <w:jc w:val="both"/>
      </w:pPr>
      <w:r>
        <w:rPr>
          <w:rFonts w:ascii="Arial" w:hAnsi="Arial" w:cs="Arial"/>
          <w:sz w:val="20"/>
          <w:szCs w:val="20"/>
        </w:rPr>
        <w:t xml:space="preserve">ULAP supports stronger fisheries governance, more effective support for fisherfolk, and a more coherent national institutional framework for the sector. The case for reform is real, and the present working draft already contains several important building blocks toward that end. The measure would benefit from further refinement so that national strengthening is expressed in terms that are institutionally clear, statutorily coherent, and workable across varied local conditions.</w:t>
      </w:r>
    </w:p>
    <w:sectPr>
      <w:headerReference r:id="rId6" w:type="first"/>
      <w:footerReference r:id="rId7" w:type="first"/>
      <w:headerReference r:id="rId8" w:type="default"/>
      <w:footerReference r:id="rId9" w:type="default"/>
      <w:pgSz w:h="16838" w:w="11906" w:orient="portrait"/>
      <w:pgMar w:bottom="2160" w:top="1440" w:left="1440" w:right="1440" w:header="720" w:footer="576"/>
      <w:pgNumType w:start="1"/>
      <w:titlePg/>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r>
    <w:r w:rsidDel="00000000" w:rsidR="00000000" w:rsidRPr="00000000">
      <w:drawing>
        <wp:anchor allowOverlap="1" behindDoc="1" distB="114300" distT="114300" distL="114300" distR="114300" hidden="0" layoutInCell="1" locked="0" relativeHeight="0" simplePos="0">
          <wp:simplePos x="0" y="0"/>
          <wp:positionH relativeFrom="column">
            <wp:posOffset>-962024</wp:posOffset>
          </wp:positionH>
          <wp:positionV relativeFrom="paragraph">
            <wp:posOffset>205787</wp:posOffset>
          </wp:positionV>
          <wp:extent cx="7762875" cy="933877"/>
          <wp:effectExtent b="0" l="0" r="0" t="0"/>
          <wp:wrapNone/>
          <wp:docPr id="2" name="image1.png"/>
          <a:graphic>
            <a:graphicData uri="http://schemas.openxmlformats.org/drawingml/2006/picture">
              <pic:pic>
                <pic:nvPicPr>
                  <pic:cNvPr id="0" name="image1.png"/>
                  <pic:cNvPicPr preferRelativeResize="0"/>
                </pic:nvPicPr>
                <pic:blipFill>
                  <a:blip r:embed="rId1"/>
                  <a:srcRect b="0" l="0" r="0" t="63954"/>
                  <a:stretch>
                    <a:fillRect/>
                  </a:stretch>
                </pic:blipFill>
                <pic:spPr>
                  <a:xfrm>
                    <a:off x="0" y="0"/>
                    <a:ext cx="7762875" cy="933877"/>
                  </a:xfrm>
                  <a:prstGeom prst="rect"/>
                  <a:ln/>
                </pic:spPr>
              </pic:pic>
            </a:graphicData>
          </a:graphic>
        </wp:anchor>
      </w:drawing>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r>
  </w:p>
</w:ftr>
</file>

<file path=word/footer2.xml><?xml version="1.0" encoding="utf-8"?>
<w:ftr xmlns:w="http://schemas.openxmlformats.org/wordprocessingml/2006/main">
  <w:p>
    <w:pPr>
      <w:pStyle w:val="Footer"/>
      <w:jc w:val="center"/>
    </w:pPr>
    <w:r/>
    <w:r>
      <w:rPr>
        <w:color w:val="8A93A3"/>
        <w:sz w:val="16"/>
      </w:rPr>
      <w:t>ULAP Internal Document — Not for circulation without NEB Board approval</w: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2">
    <w:pPr>
      <w:tabs>
        <w:tab w:val="center" w:leader="none" w:pos="4680"/>
        <w:tab w:val="right" w:leader="none" w:pos="9360"/>
        <w:tab w:val="right" w:leader="none" w:pos="10184"/>
      </w:tabs>
      <w:spacing w:line="240" w:lineRule="auto"/>
      <w:jc w:val="center"/>
      <w:rPr>
        <w:sz w:val="7"/>
        <w:szCs w:val="7"/>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-1105632</wp:posOffset>
              </wp:positionH>
              <wp:positionV relativeFrom="paragraph">
                <wp:posOffset>-457199</wp:posOffset>
              </wp:positionV>
              <wp:extent cx="8249383" cy="1671638"/>
              <wp:effectExtent b="0" l="0" r="0" t="0"/>
              <wp:wrapSquare wrapText="bothSides" distB="0" distT="0" distL="114300" distR="114300"/>
              <wp:docPr id="1" name=""/>
              <a:graphic>
                <a:graphicData uri="http://schemas.microsoft.com/office/word/2010/wordprocessingGroup">
                  <wpg:wgp>
                    <wpg:cNvGrpSpPr/>
                    <wpg:grpSpPr>
                      <a:xfrm>
                        <a:off x="1414075" y="2974800"/>
                        <a:ext cx="8249383" cy="1671638"/>
                        <a:chOff x="1414075" y="2974800"/>
                        <a:chExt cx="7863850" cy="1610400"/>
                      </a:xfrm>
                    </wpg:grpSpPr>
                    <wpg:grpSp>
                      <wpg:cNvGrpSpPr/>
                      <wpg:grpSpPr>
                        <a:xfrm>
                          <a:off x="1414080" y="2974820"/>
                          <a:ext cx="7863840" cy="1610360"/>
                          <a:chOff x="1414075" y="2974800"/>
                          <a:chExt cx="7863850" cy="1610400"/>
                        </a:xfrm>
                      </wpg:grpSpPr>
                      <wps:wsp>
                        <wps:cNvSpPr/>
                        <wps:cNvPr id="3" name="Shape 3"/>
                        <wps:spPr>
                          <a:xfrm>
                            <a:off x="1414075" y="2974800"/>
                            <a:ext cx="7863850" cy="16104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1414080" y="2974820"/>
                            <a:ext cx="7863840" cy="1610360"/>
                            <a:chOff x="1414075" y="2974800"/>
                            <a:chExt cx="7863850" cy="1610400"/>
                          </a:xfrm>
                        </wpg:grpSpPr>
                        <wps:wsp>
                          <wps:cNvSpPr/>
                          <wps:cNvPr id="5" name="Shape 5"/>
                          <wps:spPr>
                            <a:xfrm>
                              <a:off x="1414075" y="2974800"/>
                              <a:ext cx="7863850" cy="16104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1414080" y="2974820"/>
                              <a:ext cx="7863840" cy="1610360"/>
                              <a:chOff x="1414075" y="2974800"/>
                              <a:chExt cx="7863850" cy="1610400"/>
                            </a:xfrm>
                          </wpg:grpSpPr>
                          <wps:wsp>
                            <wps:cNvSpPr/>
                            <wps:cNvPr id="7" name="Shape 7"/>
                            <wps:spPr>
                              <a:xfrm>
                                <a:off x="1414075" y="2974800"/>
                                <a:ext cx="7863850" cy="16104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1414080" y="2974820"/>
                                <a:ext cx="7863840" cy="1610360"/>
                                <a:chOff x="1414075" y="2974800"/>
                                <a:chExt cx="7863850" cy="1610400"/>
                              </a:xfrm>
                            </wpg:grpSpPr>
                            <wps:wsp>
                              <wps:cNvSpPr/>
                              <wps:cNvPr id="9" name="Shape 9"/>
                              <wps:spPr>
                                <a:xfrm>
                                  <a:off x="1414075" y="2974800"/>
                                  <a:ext cx="7863850" cy="16104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1414080" y="2974820"/>
                                  <a:ext cx="7863840" cy="1610360"/>
                                  <a:chOff x="0" y="0"/>
                                  <a:chExt cx="7863840" cy="1610360"/>
                                </a:xfrm>
                              </wpg:grpSpPr>
                              <wps:wsp>
                                <wps:cNvSpPr/>
                                <wps:cNvPr id="11" name="Shape 11"/>
                                <wps:spPr>
                                  <a:xfrm>
                                    <a:off x="0" y="0"/>
                                    <a:ext cx="7863825" cy="16103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descr="A picture containing icon  Description automatically generated" id="12" name="Shape 12"/>
                                  <pic:cNvPicPr preferRelativeResize="0"/>
                                </pic:nvPicPr>
                                <pic:blipFill rotWithShape="1">
                                  <a:blip r:embed="rId1">
                                    <a:alphaModFix amt="50000"/>
                                  </a:blip>
                                  <a:srcRect b="0" l="0" r="0" t="0"/>
                                  <a:stretch/>
                                </pic:blipFill>
                                <pic:spPr>
                                  <a:xfrm flipH="1">
                                    <a:off x="95250" y="228600"/>
                                    <a:ext cx="7767955" cy="1247775"/>
                                  </a:xfrm>
                                  <a:prstGeom prst="rect">
                                    <a:avLst/>
                                  </a:prstGeom>
                                  <a:noFill/>
                                  <a:ln>
                                    <a:noFill/>
                                  </a:ln>
                                </pic:spPr>
                              </pic:pic>
                              <pic:pic>
                                <pic:nvPicPr>
                                  <pic:cNvPr descr="A picture containing icon  Description automatically generated" id="13" name="Shape 13"/>
                                  <pic:cNvPicPr preferRelativeResize="0"/>
                                </pic:nvPicPr>
                                <pic:blipFill rotWithShape="1">
                                  <a:blip r:embed="rId1">
                                    <a:alphaModFix amt="50000"/>
                                  </a:blip>
                                  <a:srcRect b="0" l="0" r="39356" t="0"/>
                                  <a:stretch/>
                                </pic:blipFill>
                                <pic:spPr>
                                  <a:xfrm>
                                    <a:off x="95250" y="222250"/>
                                    <a:ext cx="4705350" cy="1247775"/>
                                  </a:xfrm>
                                  <a:prstGeom prst="rect">
                                    <a:avLst/>
                                  </a:prstGeom>
                                  <a:noFill/>
                                  <a:ln>
                                    <a:noFill/>
                                  </a:ln>
                                </pic:spPr>
                              </pic:pic>
                              <pic:pic>
                                <pic:nvPicPr>
                                  <pic:cNvPr id="14" name="Shape 14"/>
                                  <pic:cNvPicPr preferRelativeResize="0"/>
                                </pic:nvPicPr>
                                <pic:blipFill rotWithShape="1">
                                  <a:blip r:embed="rId2">
                                    <a:alphaModFix/>
                                  </a:blip>
                                  <a:srcRect b="29036" l="0" r="0" t="2914"/>
                                  <a:stretch/>
                                </pic:blipFill>
                                <pic:spPr>
                                  <a:xfrm>
                                    <a:off x="990600" y="590550"/>
                                    <a:ext cx="5943600" cy="1019810"/>
                                  </a:xfrm>
                                  <a:prstGeom prst="rect">
                                    <a:avLst/>
                                  </a:prstGeom>
                                  <a:noFill/>
                                  <a:ln>
                                    <a:noFill/>
                                  </a:ln>
                                </pic:spPr>
                              </pic:pic>
                              <pic:pic>
                                <pic:nvPicPr>
                                  <pic:cNvPr descr="Background pattern  Description automatically generated" id="15" name="Shape 15"/>
                                  <pic:cNvPicPr preferRelativeResize="0"/>
                                </pic:nvPicPr>
                                <pic:blipFill rotWithShape="1">
                                  <a:blip r:embed="rId3">
                                    <a:alphaModFix/>
                                  </a:blip>
                                  <a:srcRect b="0" l="0" r="0" t="0"/>
                                  <a:stretch/>
                                </pic:blipFill>
                                <pic:spPr>
                                  <a:xfrm>
                                    <a:off x="0" y="0"/>
                                    <a:ext cx="7863840" cy="396875"/>
                                  </a:xfrm>
                                  <a:prstGeom prst="rect">
                                    <a:avLst/>
                                  </a:prstGeom>
                                  <a:noFill/>
                                  <a:ln>
                                    <a:noFill/>
                                  </a:ln>
                                </pic:spPr>
                              </pic:pic>
                            </wpg:grpSp>
                          </wpg:grpSp>
                        </wpg:grp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-1105632</wp:posOffset>
              </wp:positionH>
              <wp:positionV relativeFrom="paragraph">
                <wp:posOffset>-457199</wp:posOffset>
              </wp:positionV>
              <wp:extent cx="8249383" cy="1671638"/>
              <wp:effectExtent b="0" l="0" r="0" t="0"/>
              <wp:wrapSquare wrapText="bothSides" distB="0" distT="0" distL="114300" distR="114300"/>
              <wp:docPr id="1" name="image2.png"/>
              <a:graphic>
                <a:graphicData uri="http://schemas.openxmlformats.org/drawingml/2006/picture">
                  <pic:pic>
                    <pic:nvPicPr>
                      <pic:cNvPr id="0" name="image2.png"/>
                      <pic:cNvPicPr preferRelativeResize="0"/>
                    </pic:nvPicPr>
                    <pic:blipFill>
                      <a:blip r:embed="rId4"/>
                      <a:srcRect/>
                      <a:stretch>
                        <a:fillRect/>
                      </a:stretch>
                    </pic:blipFill>
                    <pic:spPr>
                      <a:xfrm>
                        <a:off x="0" y="0"/>
                        <a:ext cx="8249383" cy="1671638"/>
                      </a:xfrm>
                      <a:prstGeom prst="rect"/>
                      <a:ln/>
                    </pic:spPr>
                  </pic:pic>
                </a:graphicData>
              </a:graphic>
            </wp:anchor>
          </w:drawing>
        </mc:Fallback>
      </mc:AlternateContent>
    </w:r>
  </w:p>
  <w:p w:rsidR="00000000" w:rsidDel="00000000" w:rsidP="00000000" w:rsidRDefault="00000000" w:rsidRPr="00000000" w14:paraId="00000003">
    <w:pPr>
      <w:tabs>
        <w:tab w:val="center" w:leader="none" w:pos="4680"/>
        <w:tab w:val="right" w:leader="none" w:pos="9360"/>
        <w:tab w:val="right" w:leader="none" w:pos="10184"/>
      </w:tabs>
      <w:spacing w:line="240" w:lineRule="auto"/>
      <w:jc w:val="center"/>
      <w:rPr>
        <w:sz w:val="16"/>
        <w:szCs w:val="16"/>
      </w:rPr>
    </w:pPr>
    <w:r w:rsidDel="00000000" w:rsidR="00000000" w:rsidRPr="00000000">
      <w:rPr>
        <w:sz w:val="16"/>
        <w:szCs w:val="16"/>
        <w:rtl w:val="0"/>
      </w:rPr>
      <w:t xml:space="preserve">28F Unit 2803 Summit One Tower 530 Shaw Boulevard, Mandaluyong City</w:t>
    </w:r>
  </w:p>
  <w:p w:rsidR="00000000" w:rsidDel="00000000" w:rsidP="00000000" w:rsidRDefault="00000000" w:rsidRPr="00000000" w14:paraId="00000004">
    <w:pPr>
      <w:tabs>
        <w:tab w:val="center" w:leader="none" w:pos="4680"/>
        <w:tab w:val="right" w:leader="none" w:pos="9360"/>
      </w:tabs>
      <w:spacing w:line="240" w:lineRule="auto"/>
      <w:jc w:val="center"/>
      <w:rPr>
        <w:sz w:val="16"/>
        <w:szCs w:val="16"/>
      </w:rPr>
    </w:pPr>
    <w:r w:rsidDel="00000000" w:rsidR="00000000" w:rsidRPr="00000000">
      <w:rPr>
        <w:b w:val="1"/>
        <w:bCs w:val="1"/>
        <w:sz w:val="16"/>
        <w:szCs w:val="16"/>
        <w:rtl w:val="0"/>
      </w:rPr>
      <w:t xml:space="preserve">Phone: </w:t>
    </w:r>
    <w:r w:rsidDel="00000000" w:rsidR="00000000" w:rsidRPr="00000000">
      <w:rPr>
        <w:sz w:val="16"/>
        <w:szCs w:val="16"/>
        <w:rtl w:val="0"/>
      </w:rPr>
      <w:t xml:space="preserve">(+63) 9189856659 </w:t>
    </w:r>
    <w:r w:rsidDel="00000000" w:rsidR="00000000" w:rsidRPr="00000000">
      <w:rPr>
        <w:b w:val="1"/>
        <w:bCs w:val="1"/>
        <w:sz w:val="16"/>
        <w:szCs w:val="16"/>
        <w:rtl w:val="0"/>
      </w:rPr>
      <w:t xml:space="preserve">E-Mail:</w:t>
    </w:r>
    <w:r w:rsidDel="00000000" w:rsidR="00000000" w:rsidRPr="00000000">
      <w:rPr>
        <w:sz w:val="16"/>
        <w:szCs w:val="16"/>
        <w:rtl w:val="0"/>
      </w:rPr>
      <w:t xml:space="preserve"> </w:t>
    </w:r>
    <w:hyperlink r:id="rId5">
      <w:r w:rsidDel="00000000" w:rsidR="00000000" w:rsidRPr="00000000">
        <w:rPr>
          <w:color w:val="0563c1"/>
          <w:sz w:val="16"/>
          <w:szCs w:val="16"/>
          <w:u w:val="single"/>
          <w:rtl w:val="0"/>
        </w:rPr>
        <w:t xml:space="preserve">ulapnatsec@gmail.com</w:t>
      </w:r>
    </w:hyperlink>
    <w:r w:rsidDel="00000000" w:rsidR="00000000" w:rsidRPr="00000000">
      <w:rPr>
        <w:sz w:val="16"/>
        <w:szCs w:val="16"/>
        <w:rtl w:val="0"/>
      </w:rPr>
      <w:t xml:space="preserve">, </w:t>
    </w:r>
    <w:hyperlink r:id="rId6">
      <w:r w:rsidDel="00000000" w:rsidR="00000000" w:rsidRPr="00000000">
        <w:rPr>
          <w:color w:val="0563c1"/>
          <w:sz w:val="16"/>
          <w:szCs w:val="16"/>
          <w:u w:val="single"/>
          <w:rtl w:val="0"/>
        </w:rPr>
        <w:t xml:space="preserve">secretariat@ulap.net.ph</w:t>
      </w:r>
    </w:hyperlink>
    <w:r w:rsidDel="00000000" w:rsidR="00000000" w:rsidRPr="00000000">
      <w:rPr>
        <w:rtl w:val="0"/>
      </w:rPr>
    </w:r>
  </w:p>
  <w:p w:rsidR="00000000" w:rsidDel="00000000" w:rsidP="00000000" w:rsidRDefault="00000000" w:rsidRPr="00000000" w14:paraId="00000005">
    <w:pPr>
      <w:tabs>
        <w:tab w:val="center" w:leader="none" w:pos="4680"/>
        <w:tab w:val="right" w:leader="none" w:pos="9360"/>
      </w:tabs>
      <w:spacing w:line="240" w:lineRule="auto"/>
      <w:jc w:val="center"/>
      <w:rPr>
        <w:sz w:val="16"/>
        <w:szCs w:val="16"/>
      </w:rPr>
    </w:pPr>
    <w:r w:rsidDel="00000000" w:rsidR="00000000" w:rsidRPr="00000000">
      <w:rPr>
        <w:b w:val="1"/>
        <w:bCs w:val="1"/>
        <w:sz w:val="16"/>
        <w:szCs w:val="16"/>
        <w:rtl w:val="0"/>
      </w:rPr>
      <w:t xml:space="preserve">Website:</w:t>
    </w:r>
    <w:r w:rsidDel="00000000" w:rsidR="00000000" w:rsidRPr="00000000">
      <w:rPr>
        <w:sz w:val="16"/>
        <w:szCs w:val="16"/>
        <w:rtl w:val="0"/>
      </w:rPr>
      <w:t xml:space="preserve"> </w:t>
    </w:r>
    <w:hyperlink r:id="rId7">
      <w:r w:rsidDel="00000000" w:rsidR="00000000" w:rsidRPr="00000000">
        <w:rPr>
          <w:color w:val="0563c1"/>
          <w:sz w:val="16"/>
          <w:szCs w:val="16"/>
          <w:u w:val="single"/>
          <w:rtl w:val="0"/>
        </w:rPr>
        <w:t xml:space="preserve">www.ulap.net.ph</w:t>
      </w:r>
    </w:hyperlink>
    <w:r w:rsidDel="00000000" w:rsidR="00000000" w:rsidRPr="00000000">
      <w:rPr>
        <w:sz w:val="16"/>
        <w:szCs w:val="16"/>
        <w:rtl w:val="0"/>
      </w:rPr>
      <w:t xml:space="preserve"> </w:t>
    </w:r>
    <w:r w:rsidDel="00000000" w:rsidR="00000000" w:rsidRPr="00000000">
      <w:rPr>
        <w:b w:val="1"/>
        <w:bCs w:val="1"/>
        <w:sz w:val="16"/>
        <w:szCs w:val="16"/>
        <w:rtl w:val="0"/>
      </w:rPr>
      <w:t xml:space="preserve">Facebook:</w:t>
    </w:r>
    <w:r w:rsidDel="00000000" w:rsidR="00000000" w:rsidRPr="00000000">
      <w:rPr>
        <w:sz w:val="16"/>
        <w:szCs w:val="16"/>
        <w:rtl w:val="0"/>
      </w:rPr>
      <w:t xml:space="preserve"> </w:t>
    </w:r>
    <w:hyperlink r:id="rId8">
      <w:r w:rsidDel="00000000" w:rsidR="00000000" w:rsidRPr="00000000">
        <w:rPr>
          <w:color w:val="0563c1"/>
          <w:sz w:val="16"/>
          <w:szCs w:val="16"/>
          <w:u w:val="single"/>
          <w:rtl w:val="0"/>
        </w:rPr>
        <w:t xml:space="preserve">www.facebook.com/ulap.net.ph</w:t>
      </w:r>
    </w:hyperlink>
    <w:r w:rsidDel="00000000" w:rsidR="00000000" w:rsidRPr="00000000">
      <w:rPr>
        <w:sz w:val="16"/>
        <w:szCs w:val="16"/>
        <w:rtl w:val="0"/>
      </w:rPr>
      <w:t xml:space="preserve"> </w:t>
    </w:r>
  </w:p>
  <w:p w:rsidR="00000000" w:rsidDel="00000000" w:rsidP="00000000" w:rsidRDefault="00000000" w:rsidRPr="00000000" w14:paraId="00000006">
    <w:pPr>
      <w:pBdr>
        <w:bottom w:color="000000" w:space="1" w:sz="6" w:val="single"/>
      </w:pBdr>
      <w:tabs>
        <w:tab w:val="center" w:leader="none" w:pos="4680"/>
        <w:tab w:val="right" w:leader="none" w:pos="9360"/>
      </w:tabs>
      <w:spacing w:line="240" w:lineRule="auto"/>
      <w:ind w:left="-1134" w:right="-1097" w:firstLine="0"/>
      <w:rPr>
        <w:b w:val="1"/>
        <w:bCs w:val="1"/>
        <w:color w:val="002060"/>
        <w:sz w:val="15"/>
        <w:szCs w:val="15"/>
      </w:rPr>
    </w:pPr>
    <w:r w:rsidDel="00000000" w:rsidR="00000000" w:rsidRPr="00000000">
      <w:rPr>
        <w:rtl w:val="0"/>
      </w:rPr>
    </w:r>
  </w:p>
  <w:p w:rsidR="00000000" w:rsidDel="00000000" w:rsidP="00000000" w:rsidRDefault="00000000" w:rsidRPr="00000000" w14:paraId="00000007">
    <w:pPr>
      <w:spacing w:after="160" w:line="259" w:lineRule="auto"/>
      <w:rPr>
        <w:rFonts w:ascii="Calibri" w:cs="Calibri" w:eastAsia="Calibri" w:hAnsi="Calibri"/>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hdr>
</file>

<file path=word/header2.xml><?xml version="1.0" encoding="utf-8"?>
<w:hdr xmlns:w="http://schemas.openxmlformats.org/wordprocessingml/2006/main">
  <w:p>
    <w:pPr>
      <w:pStyle w:val="Header"/>
    </w:pP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header" Target="header2.xml"/><Relationship Id="rId9" Type="http://schemas.openxmlformats.org/officeDocument/2006/relationships/footer" Target="footer2.xml"/></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 Id="rId2" Type="http://schemas.openxmlformats.org/officeDocument/2006/relationships/image" Target="media/image4.png"/><Relationship Id="rId3" Type="http://schemas.openxmlformats.org/officeDocument/2006/relationships/image" Target="media/image5.jpg"/><Relationship Id="rId4" Type="http://schemas.openxmlformats.org/officeDocument/2006/relationships/image" Target="media/image2.png"/><Relationship Id="rId5" Type="http://schemas.openxmlformats.org/officeDocument/2006/relationships/hyperlink" Target="about:blank" TargetMode="External"/><Relationship Id="rId6" Type="http://schemas.openxmlformats.org/officeDocument/2006/relationships/hyperlink" Target="about:blank" TargetMode="External"/><Relationship Id="rId7" Type="http://schemas.openxmlformats.org/officeDocument/2006/relationships/hyperlink" Target="about:blank" TargetMode="External"/><Relationship Id="rId8" Type="http://schemas.openxmlformats.org/officeDocument/2006/relationships/hyperlink" Target="about:blank"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