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 AMENDMENTS TO</w:t>
      </w:r>
    </w:p>
    <w:p>
      <w:pPr>
        <w:spacing w:before="40" w:after="200" w:line="264" w:lineRule="auto"/>
        <w:jc w:val="center"/>
      </w:pPr>
      <w:r>
        <w:rPr>
          <w:rFonts w:ascii="Arial" w:hAnsi="Arial" w:cs="Arial"/>
          <w:b/>
          <w:bCs/>
          <w:sz w:val="24"/>
          <w:szCs w:val="24"/>
        </w:rPr>
        <w:t xml:space="preserve">REPUBLIC ACT NO. 7916, AS AMENDED BY REPUBLIC ACT NO. 8748, OR THE PEZA LAW</w:t>
      </w:r>
    </w:p>
    <w:p>
      <w:pPr>
        <w:spacing w:before="0" w:after="140" w:line="264" w:lineRule="auto"/>
        <w:jc w:val="both"/>
      </w:pPr>
      <w:r>
        <w:rPr>
          <w:rFonts w:ascii="Arial" w:hAnsi="Arial" w:cs="Arial"/>
          <w:sz w:val="20"/>
          <w:szCs w:val="20"/>
        </w:rPr>
        <w:t xml:space="preserve">The Union of Local Authorities of the Philippines (ULAP), as the umbrella organization of local government units and their respective leagues nationwide, respectfully expresses its appreciation for the continued efforts of Congress to strengthen the country’s investment climate, improve the responsiveness of economic governance, and enhance the competitiveness of Philippine special economic zones.</w:t>
      </w:r>
    </w:p>
    <w:p>
      <w:pPr>
        <w:spacing w:before="0" w:after="140" w:line="264" w:lineRule="auto"/>
        <w:jc w:val="both"/>
      </w:pPr>
      <w:r>
        <w:rPr>
          <w:rFonts w:ascii="Arial" w:hAnsi="Arial" w:cs="Arial"/>
          <w:sz w:val="20"/>
          <w:szCs w:val="20"/>
        </w:rPr>
        <w:t xml:space="preserve">ULAP fully recognizes the important role of the Philippine Economic Zone Authority (PEZA) and of special economic zones in promoting industrial development, attracting investment, creating jobs, and supporting regional growth.</w:t>
      </w:r>
    </w:p>
    <w:p>
      <w:pPr>
        <w:spacing w:before="0" w:after="140" w:line="264" w:lineRule="auto"/>
        <w:jc w:val="both"/>
      </w:pPr>
      <w:r>
        <w:rPr>
          <w:rFonts w:ascii="Arial" w:hAnsi="Arial" w:cs="Arial"/>
          <w:sz w:val="20"/>
          <w:szCs w:val="20"/>
        </w:rPr>
        <w:t xml:space="preserve">Because ecozones are physically situated within host communities and operate alongside local planning systems, infrastructure networks, public safety mechanisms, and regulatory processes, ULAP respectfully submits that the proposed amendments may benefit from further refinement in several areas to ensure that the final law is administratively clear, institutionally balanced, and fully workable on the ground.</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Section 5 on ecozone establishment may be strengthened by more clearly preserving external approval mechanisms and by affirming host LGU participation as a substantive land-use safeguard.</w:t>
      </w:r>
    </w:p>
    <w:p>
      <w:pPr>
        <w:spacing w:before="0" w:after="140" w:line="264" w:lineRule="auto"/>
        <w:jc w:val="both"/>
      </w:pPr>
      <w:r>
        <w:rPr>
          <w:rFonts w:ascii="Arial" w:hAnsi="Arial" w:cs="Arial"/>
          <w:sz w:val="20"/>
          <w:szCs w:val="20"/>
        </w:rPr>
        <w:t xml:space="preserve">ULAP notes favorably that the draft continues to recognize local government initiative and host LGU endorsement in the establishment of ecozones. These are sound features of the bill that should be retained. They acknowledge, in effect, that ecozone formation has direct implications for the host locality.</w:t>
      </w:r>
    </w:p>
    <w:p>
      <w:pPr>
        <w:spacing w:before="0" w:after="140" w:line="264" w:lineRule="auto"/>
        <w:jc w:val="both"/>
      </w:pPr>
      <w:r>
        <w:rPr>
          <w:rFonts w:ascii="Arial" w:hAnsi="Arial" w:cs="Arial"/>
          <w:sz w:val="20"/>
          <w:szCs w:val="20"/>
        </w:rPr>
        <w:t xml:space="preserve">ULAP respectfully suggests, however, that the proposed amendments more clearly preserve the broader legal architecture governing ecozone creation. For LGUs, ecozone designation is not solely an investment matter. It is also a territorial and planning matter with implications for land use, road access, drainage, utilities, labor settlements, emergency response, water demand, and the long-term development direction of the host area. Local participation is most effective when it is linked to a clearly defined approval structure and to demonstrable consistency with existing local plans.</w:t>
      </w:r>
    </w:p>
    <w:p>
      <w:pPr>
        <w:spacing w:before="0" w:after="140" w:line="264" w:lineRule="auto"/>
        <w:jc w:val="both"/>
      </w:pPr>
      <w:r>
        <w:rPr>
          <w:rFonts w:ascii="Arial" w:hAnsi="Arial" w:cs="Arial"/>
          <w:sz w:val="20"/>
          <w:szCs w:val="20"/>
        </w:rPr>
        <w:t xml:space="preserve">To avoid interpretive uncertainty and to give due effect to local planning considerations, ULAP recommends that the law expressly retain the Presidential proclamation, or an equivalent public act of comparable legal weight, for ecozone creation, and that host LGU participation be strengthened through prior sanggunian conformity and certification of consistency with the applicable CLUP, zoning ordinance, and local infrastructure and development plans.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No special economic zone, industrial estate, information technology park or center, or other ecozone category under this Act shall be validly created, expanded, or substantially modified except pursuant to a proclamation or other equivalent act expressly provided by law, upon recommendation of PEZA and after favorable conformity of the host LGU through its sanggunian and certification of consistency with the applicable comprehensive land use plan, zoning ordinance, and local infrastructure and development plans.</w:t>
      </w:r>
    </w:p>
    <w:p>
      <w:pPr>
        <w:keepNext/>
        <w:spacing w:before="180" w:after="90" w:line="264" w:lineRule="auto"/>
        <w:jc w:val="both"/>
      </w:pPr>
      <w:r>
        <w:rPr>
          <w:rFonts w:ascii="Arial" w:hAnsi="Arial" w:cs="Arial"/>
          <w:b/>
          <w:bCs/>
          <w:sz w:val="20"/>
          <w:szCs w:val="20"/>
        </w:rPr>
        <w:t xml:space="preserve">2. Section 4 may be clarified by more precisely limiting ecozone categories and by expressly preserving the application of laws governing water-based areas.</w:t>
      </w:r>
    </w:p>
    <w:p>
      <w:pPr>
        <w:spacing w:before="0" w:after="140" w:line="264" w:lineRule="auto"/>
        <w:jc w:val="both"/>
      </w:pPr>
      <w:r>
        <w:rPr>
          <w:rFonts w:ascii="Arial" w:hAnsi="Arial" w:cs="Arial"/>
          <w:sz w:val="20"/>
          <w:szCs w:val="20"/>
        </w:rPr>
        <w:t xml:space="preserve">The draft defines ecozones as either land- or water-based separate administrative and customs territories, and also refers to “other types of ecozones as may be determined by the PEZA Board.” ULAP respectfully submits that these provisions would benefit from more precise statutory boundaries.</w:t>
      </w:r>
    </w:p>
    <w:p>
      <w:pPr>
        <w:spacing w:before="0" w:after="140" w:line="264" w:lineRule="auto"/>
        <w:jc w:val="both"/>
      </w:pPr>
      <w:r>
        <w:rPr>
          <w:rFonts w:ascii="Arial" w:hAnsi="Arial" w:cs="Arial"/>
          <w:sz w:val="20"/>
          <w:szCs w:val="20"/>
        </w:rPr>
        <w:t xml:space="preserve">The inclusion of water-based ecozones introduces issues that extend beyond industrial or customs administration. Depending on location and scope, such zones may intersect with municipal waters, fisheries management, foreshore use, navigation, coastal resource planning, and environmental regulation. A broadly worded authority in the PEZA Board to determine additional ecozone categories may also create uncertainty as to whether the scope of the law may be expanded through administrative action rather than by express legislative determination.</w:t>
      </w:r>
    </w:p>
    <w:p>
      <w:pPr>
        <w:spacing w:before="0" w:after="140" w:line="264" w:lineRule="auto"/>
        <w:jc w:val="both"/>
      </w:pPr>
      <w:r>
        <w:rPr>
          <w:rFonts w:ascii="Arial" w:hAnsi="Arial" w:cs="Arial"/>
          <w:sz w:val="20"/>
          <w:szCs w:val="20"/>
        </w:rPr>
        <w:t xml:space="preserve">ULAP’s concern here is principally one of statutory clarity and institutional coordination. A more defined provision would help avoid disputes as to the reach of PEZA authority and would better assure host LGUs and other agencies that the creation of new ecozone forms will remain subject to appropriate legal and policy controls.</w:t>
      </w:r>
    </w:p>
    <w:p>
      <w:pPr>
        <w:spacing w:before="0" w:after="140" w:line="264" w:lineRule="auto"/>
        <w:jc w:val="both"/>
      </w:pPr>
      <w:r>
        <w:rPr>
          <w:rFonts w:ascii="Arial" w:hAnsi="Arial" w:cs="Arial"/>
          <w:sz w:val="20"/>
          <w:szCs w:val="20"/>
        </w:rPr>
        <w:t xml:space="preserve">ULAP recommends that ecozone categories be either exhaustively enumerated or more tightly delimited by statute, and that any water-based ecozone be made expressly subject to the Fisheries Code, laws governing municipal waters and foreshore areas, navigation rules, environmental laws, and the lawful authority of host LGUs and competent national agencies.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Ecozone categories shall be limited to those expressly enumerated in this Act or in other laws. No new ecozone type shall be created solely by PEZA Board action. Any water-based ecozone or ecozone component shall remain subject to applicable laws on municipal waters, fisheries management, foreshore use, navigation, environmental compliance, and the lawful authority of host LGUs and competent national agencies.</w:t>
      </w:r>
    </w:p>
    <w:p>
      <w:pPr>
        <w:keepNext/>
        <w:spacing w:before="180" w:after="90" w:line="264" w:lineRule="auto"/>
        <w:jc w:val="both"/>
      </w:pPr>
      <w:r>
        <w:rPr>
          <w:rFonts w:ascii="Arial" w:hAnsi="Arial" w:cs="Arial"/>
          <w:b/>
          <w:bCs/>
          <w:sz w:val="20"/>
          <w:szCs w:val="20"/>
        </w:rPr>
        <w:t xml:space="preserve">3. Sections 7 and 8 would benefit from a clarificatory clause stating that customs treatment and administrative streamlining do not create a separate local governmental territory.</w:t>
      </w:r>
    </w:p>
    <w:p>
      <w:pPr>
        <w:spacing w:before="0" w:after="140" w:line="264" w:lineRule="auto"/>
        <w:jc w:val="both"/>
      </w:pPr>
      <w:r>
        <w:rPr>
          <w:rFonts w:ascii="Arial" w:hAnsi="Arial" w:cs="Arial"/>
          <w:sz w:val="20"/>
          <w:szCs w:val="20"/>
        </w:rPr>
        <w:t xml:space="preserve">Section 7 states that the ecozone shall administer itself on economic, financial, industrial, tourism development, and other matters within the exclusive competence of the national government. Section 8 further provides that ecozones shall be managed and operated by PEZA as separate administrative and customs territory.</w:t>
      </w:r>
    </w:p>
    <w:p>
      <w:pPr>
        <w:spacing w:before="0" w:after="140" w:line="264" w:lineRule="auto"/>
        <w:jc w:val="both"/>
      </w:pPr>
      <w:r>
        <w:rPr>
          <w:rFonts w:ascii="Arial" w:hAnsi="Arial" w:cs="Arial"/>
          <w:sz w:val="20"/>
          <w:szCs w:val="20"/>
        </w:rPr>
        <w:t xml:space="preserve">ULAP appreciates the rationale for granting PEZA operational flexibility and for maintaining the distinct customs treatment that has long been associated with ecozone policy. The phrase “separate administrative territory,” however, may be read more broadly than perhaps intended. Without an express limiting clause, this language may raise questions as to whether PEZA’s administrative role within the ecozone affects the continued exercise of lawful LGU authority over land-use regulation, building control, public safety, sanitation, and related police powers.</w:t>
      </w:r>
    </w:p>
    <w:p>
      <w:pPr>
        <w:spacing w:before="0" w:after="140" w:line="264" w:lineRule="auto"/>
        <w:jc w:val="both"/>
      </w:pPr>
      <w:r>
        <w:rPr>
          <w:rFonts w:ascii="Arial" w:hAnsi="Arial" w:cs="Arial"/>
          <w:sz w:val="20"/>
          <w:szCs w:val="20"/>
        </w:rPr>
        <w:t xml:space="preserve">From the standpoint of implementation, greater clarity would be useful. Host LGUs remain responsible for many of the external and interface consequences associated with ecozone development, including traffic management, drainage, settlement pressures, environmental spillovers, emergency coordination, and local service planning. It would help for the statute to make plain that the administrative regime for ecozone operations does not sever the ecozone from the local government context in which it is located.</w:t>
      </w:r>
    </w:p>
    <w:p>
      <w:pPr>
        <w:spacing w:before="0" w:after="140" w:line="264" w:lineRule="auto"/>
        <w:jc w:val="both"/>
      </w:pPr>
      <w:r>
        <w:rPr>
          <w:rFonts w:ascii="Arial" w:hAnsi="Arial" w:cs="Arial"/>
          <w:sz w:val="20"/>
          <w:szCs w:val="20"/>
        </w:rPr>
        <w:t xml:space="preserve">ULAP recommends that the bill expressly state that ecozones may be treated as separate customs territory for purposes authorized by law, but not as separate local governmental territory, and that PEZA’s role remains facilitative and coordinative except where a specific law provides otherwise.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designation of an ecozone as a separate customs territory for purposes authorized by law shall not be construed as creating a separate local governmental territory or as suspending the lawful authority of the host LGU over land-use planning, zoning, building regulation, local public safety, sanitation, and other powers vested by Republic Act No. 7160 and related laws. PEZA’s authority within the ecozone shall be facilitative and coordinative except as otherwise expressly provided by law.</w:t>
      </w:r>
    </w:p>
    <w:p>
      <w:pPr>
        <w:keepNext/>
        <w:spacing w:before="180" w:after="90" w:line="264" w:lineRule="auto"/>
        <w:jc w:val="both"/>
      </w:pPr>
      <w:r>
        <w:rPr>
          <w:rFonts w:ascii="Arial" w:hAnsi="Arial" w:cs="Arial"/>
          <w:b/>
          <w:bCs/>
          <w:sz w:val="20"/>
          <w:szCs w:val="20"/>
        </w:rPr>
        <w:t xml:space="preserve">4. Section 9 on internal security, firefighting, DRRM, and law enforcement coordination may be refined to avoid overlap, delay, or uncertainty in emergency operations.</w:t>
      </w:r>
    </w:p>
    <w:p>
      <w:pPr>
        <w:spacing w:before="0" w:after="140" w:line="264" w:lineRule="auto"/>
        <w:jc w:val="both"/>
      </w:pPr>
      <w:r>
        <w:rPr>
          <w:rFonts w:ascii="Arial" w:hAnsi="Arial" w:cs="Arial"/>
          <w:sz w:val="20"/>
          <w:szCs w:val="20"/>
        </w:rPr>
        <w:t xml:space="preserve">The draft provides that PEZA shall establish its own internal security and firefighting forces and DRRM office, or engage others to provide the same. It also states that law enforcement agencies shall coordinate with PEZA regarding operations inside ecozones and that such operations shall be conducted in the presence of a PEZA representative in a manner that minimizes disruption to ecozone operations.</w:t>
      </w:r>
    </w:p>
    <w:p>
      <w:pPr>
        <w:spacing w:before="0" w:after="140" w:line="264" w:lineRule="auto"/>
        <w:jc w:val="both"/>
      </w:pPr>
      <w:r>
        <w:rPr>
          <w:rFonts w:ascii="Arial" w:hAnsi="Arial" w:cs="Arial"/>
          <w:sz w:val="20"/>
          <w:szCs w:val="20"/>
        </w:rPr>
        <w:t xml:space="preserve">ULAP recognizes the practical intent of these provisions, particularly the desire to maintain orderly coordination and business continuity within ecozones. The current wording may be clarified, however, so that it cannot be construed as making urgent law enforcement or emergency action contingent upon PEZA presence, internal clearance, or prior representational arrangements.</w:t>
      </w:r>
    </w:p>
    <w:p>
      <w:pPr>
        <w:spacing w:before="0" w:after="140" w:line="264" w:lineRule="auto"/>
        <w:jc w:val="both"/>
      </w:pPr>
      <w:r>
        <w:rPr>
          <w:rFonts w:ascii="Arial" w:hAnsi="Arial" w:cs="Arial"/>
          <w:sz w:val="20"/>
          <w:szCs w:val="20"/>
        </w:rPr>
        <w:t xml:space="preserve">In situations involving fire, disaster, criminal enforcement, rescue, or environmental emergency, the legal chain of authority and the timeliness of response are critical. PEZA-based internal security, firefighting, and DRRM arrangements may serve a useful complementary role within ecozones, but these should be expressly framed as supplemental to, and not in substitution of, the statutory roles of the Philippine National Police, Bureau of Fire Protection, Office of Civil Defense, local DRRM councils, and host LGUs.</w:t>
      </w:r>
    </w:p>
    <w:p>
      <w:pPr>
        <w:spacing w:before="0" w:after="140" w:line="264" w:lineRule="auto"/>
        <w:jc w:val="both"/>
      </w:pPr>
      <w:r>
        <w:rPr>
          <w:rFonts w:ascii="Arial" w:hAnsi="Arial" w:cs="Arial"/>
          <w:sz w:val="20"/>
          <w:szCs w:val="20"/>
        </w:rPr>
        <w:t xml:space="preserve">ULAP recommends a clarificatory revision stating that coordination with PEZA is desirable whenever practicable, but that no urgent or time-sensitive operation shall be delayed for want of PEZA presence or prior clearance.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Any internal security, firefighting, or disaster preparedness mechanism established by PEZA or ecozone operators shall be supplemental to, and not in substitution of, the authority of the Philippine National Police, Bureau of Fire Protection, Office of Civil Defense, and the host LGU under applicable law. Law enforcement and emergency operations inside ecozones shall be coordinated with PEZA whenever practicable, but no urgent or time-sensitive operation shall be delayed for want of PEZA presence or prior clearance.</w:t>
      </w:r>
    </w:p>
    <w:p>
      <w:pPr>
        <w:keepNext/>
        <w:spacing w:before="180" w:after="90" w:line="264" w:lineRule="auto"/>
        <w:jc w:val="both"/>
      </w:pPr>
      <w:r>
        <w:rPr>
          <w:rFonts w:ascii="Arial" w:hAnsi="Arial" w:cs="Arial"/>
          <w:b/>
          <w:bCs/>
          <w:sz w:val="20"/>
          <w:szCs w:val="20"/>
        </w:rPr>
        <w:t xml:space="preserve">5. Section 6 and related expansion provisions may be improved by expressly addressing host-LGU fiscal and infrastructure impacts.</w:t>
      </w:r>
    </w:p>
    <w:p>
      <w:pPr>
        <w:spacing w:before="0" w:after="140" w:line="264" w:lineRule="auto"/>
        <w:jc w:val="both"/>
      </w:pPr>
      <w:r>
        <w:rPr>
          <w:rFonts w:ascii="Arial" w:hAnsi="Arial" w:cs="Arial"/>
          <w:sz w:val="20"/>
          <w:szCs w:val="20"/>
        </w:rPr>
        <w:t xml:space="preserve">ULAP notes that Section 6 includes, among the criteria for ecozone establishment, that the area be in hazard- and disaster-resilient locations and that it involve “no financial exposure on the part of the national government.” ULAP acknowledges the fiscal discipline underlying this provision. The bill may nonetheless provide a more complete treatment of the public costs associated with ecozone development and expansion.</w:t>
      </w:r>
    </w:p>
    <w:p>
      <w:pPr>
        <w:spacing w:before="0" w:after="140" w:line="264" w:lineRule="auto"/>
        <w:jc w:val="both"/>
      </w:pPr>
      <w:r>
        <w:rPr>
          <w:rFonts w:ascii="Arial" w:hAnsi="Arial" w:cs="Arial"/>
          <w:sz w:val="20"/>
          <w:szCs w:val="20"/>
        </w:rPr>
        <w:t xml:space="preserve">In practice, even where the national government avoids direct fiscal exposure, host LGUs may still absorb significant interface costs in the form of road congestion, drainage requirements, emergency service demands, waste management pressures, settlement impacts, and related infrastructure and service burdens. These are not abstract concerns. They are often the concrete issues that determine whether ecozone growth remains locally sustainable over time.</w:t>
      </w:r>
    </w:p>
    <w:p>
      <w:pPr>
        <w:spacing w:before="0" w:after="140" w:line="264" w:lineRule="auto"/>
        <w:jc w:val="both"/>
      </w:pPr>
      <w:r>
        <w:rPr>
          <w:rFonts w:ascii="Arial" w:hAnsi="Arial" w:cs="Arial"/>
          <w:sz w:val="20"/>
          <w:szCs w:val="20"/>
        </w:rPr>
        <w:t xml:space="preserve">ULAP respectfully submits that a clearer statutory mechanism for identifying and managing these impacts would strengthen the long-term viability of ecozone development. Congress may wish to require that major ecozone applications and expansions be accompanied by an assessment of projected host-LGU impacts, and that PEZA and the ecozone developer, where material impacts are identified, enter into an appropriate coordination and support arrangement with the host LGU.</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No ecozone shall be approved or substantially expanded without an assessment of projected impacts on local roads, drainage, utilities, housing, waste management, emergency services, and other host-LGU obligations. Where material impacts are identified, PEZA and the ecozone developer shall enter into a coordination and support agreement with the host LGU covering infrastructure interfaces, cost-sharing, service responsibilities, and other lawful mechanisms necessary to preserve local fiscal sustainability.</w:t>
      </w:r>
    </w:p>
    <w:p>
      <w:pPr>
        <w:keepNext/>
        <w:spacing w:before="180" w:after="90" w:line="264" w:lineRule="auto"/>
        <w:jc w:val="both"/>
      </w:pPr>
      <w:r>
        <w:rPr>
          <w:rFonts w:ascii="Arial" w:hAnsi="Arial" w:cs="Arial"/>
          <w:b/>
          <w:bCs/>
          <w:sz w:val="20"/>
          <w:szCs w:val="20"/>
        </w:rPr>
        <w:t xml:space="preserve">6. If the objective is faster processing, Congress may wish to consider a facilitation model that preserves substantive authority while improving coordination and timelines.</w:t>
      </w:r>
    </w:p>
    <w:p>
      <w:pPr>
        <w:spacing w:before="0" w:after="140" w:line="264" w:lineRule="auto"/>
        <w:jc w:val="both"/>
      </w:pPr>
      <w:r>
        <w:rPr>
          <w:rFonts w:ascii="Arial" w:hAnsi="Arial" w:cs="Arial"/>
          <w:sz w:val="20"/>
          <w:szCs w:val="20"/>
        </w:rPr>
        <w:t xml:space="preserve">ULAP fully supports reforms that improve efficiency, reduce unnecessary delay, and make it easier for investors to navigate the regulatory process. There is clear room for streamlining within ecozone administration. The most sustainable approach is one that improves coordination and processing discipline without reallocating substantive legal authority in a manner that may later create implementation disputes.</w:t>
      </w:r>
    </w:p>
    <w:p>
      <w:pPr>
        <w:spacing w:before="0" w:after="140" w:line="264" w:lineRule="auto"/>
        <w:jc w:val="both"/>
      </w:pPr>
      <w:r>
        <w:rPr>
          <w:rFonts w:ascii="Arial" w:hAnsi="Arial" w:cs="Arial"/>
          <w:sz w:val="20"/>
          <w:szCs w:val="20"/>
        </w:rPr>
        <w:t xml:space="preserve">As currently structured, certain provisions of the draft may be read as going beyond facilitation and toward functional substitution through self-administration language, separate administrative territory language, internal public safety structures, and related mechanisms. Congress may wish to consider whether the same policy objective can be achieved more cleanly through a strengthened facilitation model.</w:t>
      </w:r>
    </w:p>
    <w:p>
      <w:pPr>
        <w:spacing w:before="0" w:after="140" w:line="264" w:lineRule="auto"/>
        <w:jc w:val="both"/>
      </w:pPr>
      <w:r>
        <w:rPr>
          <w:rFonts w:ascii="Arial" w:hAnsi="Arial" w:cs="Arial"/>
          <w:sz w:val="20"/>
          <w:szCs w:val="20"/>
        </w:rPr>
        <w:t xml:space="preserve">In ULAP’s view, such a model could include an integrated one-stop action center, digital filing, fixed processing periods, coordinated inspections where legally appropriate, escalation procedures for delayed action, and model coordination agreements between PEZA, host LGUs, and relevant agencies. These would advance investor convenience while preserving statutory coherence and institutional accountability.</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PEZA may establish an integrated and time-bound coordination mechanism for ecozone-related applications, including digital filing, joint scheduling of inspections, inter-agency referrals, and measures to promote timely action on applications. Consistent with the mandates provided by law, substantive permits, clearances, certifications, and approvals shall continue to be exercised by the agency or LGU concerned. PEZA’s role in this process shall be to facilitate coordination and support compliance in aid of efficient and orderly implementation.</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reiterates its support for measures that strengthen investment promotion, improve administrative responsiveness, and enhance the competitiveness of Philippine ecozones. These comments are offered in support of a final bill that will be clearer in law, more workable in implementation, and more durable in its intergovernmental design.</w:t>
      </w:r>
    </w:p>
    <w:p>
      <w:pPr>
        <w:spacing w:before="0" w:after="140" w:line="264" w:lineRule="auto"/>
        <w:jc w:val="both"/>
      </w:pPr>
      <w:r>
        <w:rPr>
          <w:rFonts w:ascii="Arial" w:hAnsi="Arial" w:cs="Arial"/>
          <w:sz w:val="20"/>
          <w:szCs w:val="20"/>
        </w:rPr>
        <w:t xml:space="preserve">The favorable elements already reflected in the draft, including host LGU participation and the emphasis on resilient siting, should be retained and strengthened. Several provisions touching on ecozone classification, administrative status, public safety coordination, and host-local fiscal impacts may benefit from further clarification so that the final measure fully harmonizes PEZA’s facilitative role with the lawful mandates of host LGUs and other competent agencies.</w:t>
      </w:r>
    </w:p>
    <w:p>
      <w:pPr>
        <w:spacing w:before="0" w:after="140" w:line="264" w:lineRule="auto"/>
        <w:jc w:val="both"/>
      </w:pPr>
      <w:r>
        <w:rPr>
          <w:rFonts w:ascii="Arial" w:hAnsi="Arial" w:cs="Arial"/>
          <w:sz w:val="20"/>
          <w:szCs w:val="20"/>
        </w:rPr>
        <w:t xml:space="preserve">ULAP remains ready to work constructively with Congress, PEZA, and all concerned institutions in refining the measure and in helping develop a final version that is both investment-supportive and institutionally sound.</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