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left"/>
      </w:pPr>
      <w:r>
        <w:rPr>
          <w:b/>
          <w:color w:val="B23B3B"/>
          <w:sz w:val="22"/>
        </w:rPr>
        <w:t>CONFIDENTIAL — ULAP INTERNAL WORKING DRAFT</w:t>
      </w:r>
    </w:p>
    <w:p>
      <w:pPr>
        <w:jc w:val="left"/>
      </w:pPr>
      <w:r>
        <w:rPr>
          <w:i/>
          <w:color w:val="5A6473"/>
          <w:sz w:val="18"/>
        </w:rPr>
        <w:t>This is an internal working draft of the Union of Local Authorities of the Philippines (ULAP) National Executive Board. It must not be circulated, published, or forwarded outside ULAP without prior approval of the ULAP National Executive Board.</w:t>
      </w:r>
    </w:p>
    <w:p/>
    <w:p>
      <w:pPr>
        <w:spacing w:before="0" w:after="0" w:line="1980" w:lineRule="exact"/>
        <w:jc w:val="left"/>
      </w:pPr>
    </w:p>
    <w:p>
      <w:pPr>
        <w:spacing w:before="0" w:after="40" w:line="264" w:lineRule="auto"/>
        <w:jc w:val="center"/>
      </w:pPr>
      <w:r>
        <w:rPr>
          <w:rFonts w:ascii="Arial" w:hAnsi="Arial" w:cs="Arial"/>
          <w:b/>
          <w:bCs/>
          <w:sz w:val="24"/>
          <w:szCs w:val="24"/>
        </w:rPr>
        <w:t xml:space="preserve">POSITION PAPER ON HOUSE BILL NO. 8466 AND SENATE BILL NO. 152,</w:t>
      </w:r>
    </w:p>
    <w:p>
      <w:pPr>
        <w:spacing w:before="40" w:after="200" w:line="264" w:lineRule="auto"/>
        <w:jc w:val="center"/>
      </w:pPr>
      <w:r>
        <w:rPr>
          <w:rFonts w:ascii="Arial" w:hAnsi="Arial" w:cs="Arial"/>
          <w:b/>
          <w:bCs/>
          <w:sz w:val="24"/>
          <w:szCs w:val="24"/>
        </w:rPr>
        <w:t xml:space="preserve">THE PROPOSED NATIONAL LAND USE ACT</w:t>
      </w:r>
    </w:p>
    <w:p>
      <w:pPr>
        <w:keepNext/>
        <w:spacing w:before="220" w:after="100" w:line="264" w:lineRule="auto"/>
        <w:jc w:val="left"/>
      </w:pPr>
      <w:r>
        <w:rPr>
          <w:rFonts w:ascii="Arial" w:hAnsi="Arial" w:cs="Arial"/>
          <w:b/>
          <w:bCs/>
          <w:sz w:val="20"/>
          <w:szCs w:val="20"/>
        </w:rPr>
        <w:t xml:space="preserve">ULAP Position</w:t>
      </w:r>
    </w:p>
    <w:p>
      <w:pPr>
        <w:spacing w:before="0" w:after="140" w:line="264" w:lineRule="auto"/>
        <w:jc w:val="both"/>
      </w:pPr>
      <w:r>
        <w:rPr>
          <w:rFonts w:ascii="Arial" w:hAnsi="Arial" w:cs="Arial"/>
          <w:sz w:val="20"/>
          <w:szCs w:val="20"/>
        </w:rPr>
        <w:t xml:space="preserve">The Union of Local Authorities of the Philippines (ULAP), as the umbrella organization of local government units (LGUs) and their leagues, respectfully supports the enactment of a National Land Use Act, subject to clarificatory safeguards that preserve local autonomy, keep higher-level review time-bound and harmonizing in nature, and provide national technical and fiscal support for implementation.</w:t>
      </w:r>
    </w:p>
    <w:p>
      <w:pPr>
        <w:spacing w:before="0" w:after="140" w:line="264" w:lineRule="auto"/>
        <w:jc w:val="both"/>
      </w:pPr>
      <w:r>
        <w:rPr>
          <w:rFonts w:ascii="Arial" w:hAnsi="Arial" w:cs="Arial"/>
          <w:sz w:val="20"/>
          <w:szCs w:val="20"/>
        </w:rPr>
        <w:t xml:space="preserve">On 05 May 2026, the Presidential Legislative Liaison Office referred House Bill No. 8466 and Senate Bill No. 152 to ULAP for comment. ULAP recognizes the value of a coherent national framework for reconciling agricultural protection, settlements development, infrastructure siting, watershed management, disaster resilience, and local economic growth. The policy declarations in Senate Bill No. 152 on sustainable management of natural resources, protection of permanent forests and watersheds, disaster-risk reduction, climate resilience, water security, and food security are aligned with legitimate national objectives and with the long-term interests of LGUs.</w:t>
      </w:r>
    </w:p>
    <w:p>
      <w:pPr>
        <w:spacing w:before="0" w:after="140" w:line="264" w:lineRule="auto"/>
        <w:jc w:val="both"/>
      </w:pPr>
      <w:r>
        <w:rPr>
          <w:rFonts w:ascii="Arial" w:hAnsi="Arial" w:cs="Arial"/>
          <w:sz w:val="20"/>
          <w:szCs w:val="20"/>
        </w:rPr>
        <w:t xml:space="preserve">Land use implementation occurs in local territory, through local planning, zoning, development permitting, and day-to-day intergovernmental coordination. The effectiveness of the measure will therefore depend not only on national policy coherence but also on whether the statute remains workable for provinces, cities, and municipalities that differ widely in staffing, data access, geospatial capacity, and fiscal space.</w:t>
      </w:r>
    </w:p>
    <w:p>
      <w:pPr>
        <w:spacing w:before="0" w:after="140" w:line="264" w:lineRule="auto"/>
        <w:jc w:val="both"/>
      </w:pPr>
      <w:r>
        <w:rPr>
          <w:rFonts w:ascii="Arial" w:hAnsi="Arial" w:cs="Arial"/>
          <w:sz w:val="20"/>
          <w:szCs w:val="20"/>
        </w:rPr>
        <w:t xml:space="preserve">Recent DHSUD reporting continues to show both progress and unfinished work in CLUP updating and risk-informed planning. That progress should be reinforced, not disrupted, by any new national architecture. The proposed law will be strongest if it is written to guide and support LGUs, rather than to create ambiguity over the scope of local authority or to impose new unfunded compliance duties.</w:t>
      </w:r>
    </w:p>
    <w:p>
      <w:pPr>
        <w:keepNext/>
        <w:spacing w:before="220" w:after="100" w:line="264" w:lineRule="auto"/>
        <w:jc w:val="left"/>
      </w:pPr>
      <w:r>
        <w:rPr>
          <w:rFonts w:ascii="Arial" w:hAnsi="Arial" w:cs="Arial"/>
          <w:b/>
          <w:bCs/>
          <w:sz w:val="20"/>
          <w:szCs w:val="20"/>
        </w:rPr>
        <w:t xml:space="preserve">Recommended Refinements</w:t>
      </w:r>
    </w:p>
    <w:p>
      <w:pPr>
        <w:keepNext/>
        <w:spacing w:before="180" w:after="90" w:line="264" w:lineRule="auto"/>
        <w:jc w:val="both"/>
      </w:pPr>
      <w:r>
        <w:rPr>
          <w:rFonts w:ascii="Arial" w:hAnsi="Arial" w:cs="Arial"/>
          <w:b/>
          <w:bCs/>
          <w:sz w:val="20"/>
          <w:szCs w:val="20"/>
        </w:rPr>
        <w:t xml:space="preserve">1. National land use institutions should be expressly described as harmonizing and technical bodies, not substitutes for the lawful planning and zoning powers of LGUs and their sanggunians.</w:t>
      </w:r>
    </w:p>
    <w:p>
      <w:pPr>
        <w:spacing w:before="0" w:after="140" w:line="264" w:lineRule="auto"/>
        <w:jc w:val="both"/>
      </w:pPr>
      <w:r>
        <w:rPr>
          <w:rFonts w:ascii="Arial" w:hAnsi="Arial" w:cs="Arial"/>
          <w:sz w:val="20"/>
          <w:szCs w:val="20"/>
        </w:rPr>
        <w:t xml:space="preserve">ULAP supports a strong national policy center for land use. The creation of a National Land Use Commission or equivalent oversight structure, however, should not be read as displacing the authority that existing law already vests in LGUs to adopt and enforce local land use plans and zoning ordinances. The bill should state in express terms that national bodies perform policy harmonization, standards-setting, data integration, and intergovernmental coordination functions, while local adoption and enforcement remain with LGUs under the Constitution, the Local Government Code of 1991, and Executive Order No. 72.</w:t>
      </w:r>
    </w:p>
    <w:p>
      <w:pPr>
        <w:keepNext/>
        <w:spacing w:before="180" w:after="90" w:line="264" w:lineRule="auto"/>
        <w:jc w:val="both"/>
      </w:pPr>
      <w:r>
        <w:rPr>
          <w:rFonts w:ascii="Arial" w:hAnsi="Arial" w:cs="Arial"/>
          <w:b/>
          <w:bCs/>
          <w:sz w:val="20"/>
          <w:szCs w:val="20"/>
        </w:rPr>
        <w:t xml:space="preserve">2. Higher-level review of local plans should remain a consistency check carried out within definite periods.</w:t>
      </w:r>
    </w:p>
    <w:p>
      <w:pPr>
        <w:spacing w:before="0" w:after="140" w:line="264" w:lineRule="auto"/>
        <w:jc w:val="both"/>
      </w:pPr>
      <w:r>
        <w:rPr>
          <w:rFonts w:ascii="Arial" w:hAnsi="Arial" w:cs="Arial"/>
          <w:sz w:val="20"/>
          <w:szCs w:val="20"/>
        </w:rPr>
        <w:t xml:space="preserve">ULAP recognizes the need for vertical coherence across national, regional, provincial, and local planning layers. Even so, higher-level review should not become an open-ended pre-adoption process that delays local plan updating. The bill should make clear that review is limited to consistency with the Act, other applicable laws, duly adopted policy frameworks, and statutory limits on land reclassification. As in existing practice under Executive Order No. 72, review should be time-bound so that inaction does not indefinitely suspend local adoption.</w:t>
      </w:r>
    </w:p>
    <w:p>
      <w:pPr>
        <w:keepNext/>
        <w:spacing w:before="180" w:after="90" w:line="264" w:lineRule="auto"/>
        <w:jc w:val="both"/>
      </w:pPr>
      <w:r>
        <w:rPr>
          <w:rFonts w:ascii="Arial" w:hAnsi="Arial" w:cs="Arial"/>
          <w:b/>
          <w:bCs/>
          <w:sz w:val="20"/>
          <w:szCs w:val="20"/>
        </w:rPr>
        <w:t xml:space="preserve">3. LGU representation should be matched with structured consultation.</w:t>
      </w:r>
    </w:p>
    <w:p>
      <w:pPr>
        <w:spacing w:before="0" w:after="140" w:line="264" w:lineRule="auto"/>
        <w:jc w:val="both"/>
      </w:pPr>
      <w:r>
        <w:rPr>
          <w:rFonts w:ascii="Arial" w:hAnsi="Arial" w:cs="Arial"/>
          <w:sz w:val="20"/>
          <w:szCs w:val="20"/>
        </w:rPr>
        <w:t xml:space="preserve">ULAP welcomes provisions that recognize LGUs as implementers, not peripheral stakeholders, in land use governance. Beyond formal representation, the bill should require structured consultation with LGU leagues and affected LGUs on national standards, data obligations, dispute-resolution rules, and any implementing guidelines that materially affect local planning, zoning, reclassification, and enforcement.</w:t>
      </w:r>
    </w:p>
    <w:p>
      <w:pPr>
        <w:keepNext/>
        <w:spacing w:before="180" w:after="90" w:line="264" w:lineRule="auto"/>
        <w:jc w:val="both"/>
      </w:pPr>
      <w:r>
        <w:rPr>
          <w:rFonts w:ascii="Arial" w:hAnsi="Arial" w:cs="Arial"/>
          <w:b/>
          <w:bCs/>
          <w:sz w:val="20"/>
          <w:szCs w:val="20"/>
        </w:rPr>
        <w:t xml:space="preserve">4. New data, digital, and reporting requirements must carry corresponding national support.</w:t>
      </w:r>
    </w:p>
    <w:p>
      <w:pPr>
        <w:spacing w:before="0" w:after="140" w:line="264" w:lineRule="auto"/>
        <w:jc w:val="both"/>
      </w:pPr>
      <w:r>
        <w:rPr>
          <w:rFonts w:ascii="Arial" w:hAnsi="Arial" w:cs="Arial"/>
          <w:sz w:val="20"/>
          <w:szCs w:val="20"/>
        </w:rPr>
        <w:t xml:space="preserve">ULAP supports a more integrated land information architecture. Better basemaps, hazard overlays, climate data, and interoperable planning systems will help both national government and LGUs. Many LGUs still face uneven access to harmonized source data, trained personnel, and digital planning tools. Any new compliance or reporting requirement should therefore be paired with national support: standardized datasets, technical assistance, planning templates, training, and realistic transition periods. No LGU should be penalized for noncompliance where the necessary data or tools are not yet accessible.</w:t>
      </w:r>
    </w:p>
    <w:p>
      <w:pPr>
        <w:keepNext/>
        <w:spacing w:before="180" w:after="90" w:line="264" w:lineRule="auto"/>
        <w:jc w:val="both"/>
      </w:pPr>
      <w:r>
        <w:rPr>
          <w:rFonts w:ascii="Arial" w:hAnsi="Arial" w:cs="Arial"/>
          <w:b/>
          <w:bCs/>
          <w:sz w:val="20"/>
          <w:szCs w:val="20"/>
        </w:rPr>
        <w:t xml:space="preserve">5. Existing local institutions should be used, and implementation should be funded.</w:t>
      </w:r>
    </w:p>
    <w:p>
      <w:pPr>
        <w:spacing w:before="0" w:after="140" w:line="264" w:lineRule="auto"/>
        <w:jc w:val="both"/>
      </w:pPr>
      <w:r>
        <w:rPr>
          <w:rFonts w:ascii="Arial" w:hAnsi="Arial" w:cs="Arial"/>
          <w:sz w:val="20"/>
          <w:szCs w:val="20"/>
        </w:rPr>
        <w:t xml:space="preserve">ULAP supports working through existing local development councils, local planning and development offices, and other duly constituted bodies instead of creating unnecessary parallel structures. The additional functions contemplated by the bill will require funding, personnel, and technical assistance. The law should contain an express support clause authorizing national agencies to provide training, model instruments, geospatial support, and access to funding for plan preparation, updating, harmonization, and implementation.</w:t>
      </w:r>
    </w:p>
    <w:p>
      <w:pPr>
        <w:keepNext/>
        <w:spacing w:before="180" w:after="90" w:line="264" w:lineRule="auto"/>
        <w:jc w:val="both"/>
      </w:pPr>
      <w:r>
        <w:rPr>
          <w:rFonts w:ascii="Arial" w:hAnsi="Arial" w:cs="Arial"/>
          <w:b/>
          <w:bCs/>
          <w:sz w:val="20"/>
          <w:szCs w:val="20"/>
        </w:rPr>
        <w:t xml:space="preserve">6. Intergovernmental conflict-resolution and watershed coordination should be written as clear, time-bound processes.</w:t>
      </w:r>
    </w:p>
    <w:p>
      <w:pPr>
        <w:spacing w:before="0" w:after="140" w:line="264" w:lineRule="auto"/>
        <w:jc w:val="both"/>
      </w:pPr>
      <w:r>
        <w:rPr>
          <w:rFonts w:ascii="Arial" w:hAnsi="Arial" w:cs="Arial"/>
          <w:sz w:val="20"/>
          <w:szCs w:val="20"/>
        </w:rPr>
        <w:t xml:space="preserve">Land use disputes will inevitably arise across levels of government and across sectoral mandates. The same is true of watershed-based and ecosystem-based planning, which often requires inter-LGU coordination. The bill should require a written, time-bound process for notice, consultation, statement of issues, and reasoned disposition. Pending resolution, a duly adopted local plan should remain effective unless suspended on stated legal grounds by the competent body. The measure may likewise encourage inter-LGU planning compacts for metropolitan, watershed, coastal, and other functionally connected areas.</w:t>
      </w:r>
    </w:p>
    <w:p>
      <w:pPr>
        <w:keepNext/>
        <w:spacing w:before="220" w:after="100" w:line="264" w:lineRule="auto"/>
        <w:jc w:val="left"/>
      </w:pPr>
      <w:r>
        <w:rPr>
          <w:rFonts w:ascii="Arial" w:hAnsi="Arial" w:cs="Arial"/>
          <w:b/>
          <w:bCs/>
          <w:sz w:val="20"/>
          <w:szCs w:val="20"/>
        </w:rPr>
        <w:t xml:space="preserve">Conclusion</w:t>
      </w:r>
    </w:p>
    <w:p>
      <w:pPr>
        <w:spacing w:before="0" w:after="140" w:line="264" w:lineRule="auto"/>
        <w:jc w:val="both"/>
      </w:pPr>
      <w:r>
        <w:rPr>
          <w:rFonts w:ascii="Arial" w:hAnsi="Arial" w:cs="Arial"/>
          <w:sz w:val="20"/>
          <w:szCs w:val="20"/>
        </w:rPr>
        <w:t xml:space="preserve">ULAP respectfully supports House Bill No. 8466 and Senate Bill No. 152, subject to the foregoing clarificatory safeguards. With those refinements, the proposed National Land Use Act will be better positioned to deliver what Congress intends: a coherent national land use framework that is environmentally responsible, disaster-aware, and administratively workable while remaining faithful to local autonomy and realistic implementation across all levels of government.</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jc w:val="center"/>
    </w:pPr>
    <w:r/>
    <w:r>
      <w:rPr>
        <w:color w:val="8A93A3"/>
        <w:sz w:val="16"/>
      </w:rPr>
      <w:t>ULAP Internal Document — Not for circulation without NEB Board approval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