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pPr>
      <w:r>
        <w:rPr>
          <w:b/>
          <w:color w:val="B23B3B"/>
          <w:sz w:val="22"/>
        </w:rPr>
        <w:t>CONFIDENTIAL — ULAP INTERNAL WORKING DRAFT</w:t>
      </w:r>
    </w:p>
    <w:p>
      <w:pPr>
        <w:jc w:val="left"/>
      </w:pPr>
      <w:r>
        <w:rPr>
          <w:i/>
          <w:color w:val="5A6473"/>
          <w:sz w:val="18"/>
        </w:rPr>
        <w:t>This is an internal working draft of the Union of Local Authorities of the Philippines (ULAP) National Executive Board. It must not be circulated, published, or forwarded outside ULAP without prior approval of the ULAP National Executive Board.</w:t>
      </w:r>
    </w:p>
    <w:p/>
    <w:p>
      <w:pPr>
        <w:spacing w:before="0" w:after="0" w:line="1980" w:lineRule="exact"/>
        <w:jc w:val="left"/>
      </w:pPr>
    </w:p>
    <w:p>
      <w:pPr>
        <w:spacing w:before="0" w:after="40" w:line="264" w:lineRule="auto"/>
        <w:jc w:val="center"/>
      </w:pPr>
      <w:r>
        <w:rPr>
          <w:rFonts w:ascii="Arial" w:hAnsi="Arial" w:cs="Arial"/>
          <w:b/>
          <w:bCs/>
          <w:sz w:val="24"/>
          <w:szCs w:val="24"/>
        </w:rPr>
        <w:t xml:space="preserve">POSITION PAPER ON THE PROPOSED AMENDMENTS TO EXECUTIVE ORDER NO. 66, S. 2012,</w:t>
      </w:r>
    </w:p>
    <w:p>
      <w:pPr>
        <w:spacing w:before="40" w:after="200" w:line="264" w:lineRule="auto"/>
        <w:jc w:val="center"/>
      </w:pPr>
      <w:r>
        <w:rPr>
          <w:rFonts w:ascii="Arial" w:hAnsi="Arial" w:cs="Arial"/>
          <w:b/>
          <w:bCs/>
          <w:sz w:val="24"/>
          <w:szCs w:val="24"/>
        </w:rPr>
        <w:t xml:space="preserve">PRESCRIBING RULES ON THE CANCELLATION OR SUSPENSION OF CLASSES AND WORK IN GOVERNMENT OFFICES DUE TO TYPHOONS, FLOODING, AND OTHER NATURAL OR HUMAN-INDUCED HAZARDS AND DISASTERS</w:t>
      </w:r>
    </w:p>
    <w:p>
      <w:pPr>
        <w:spacing w:before="0" w:after="140" w:line="264" w:lineRule="auto"/>
        <w:jc w:val="both"/>
      </w:pPr>
      <w:r>
        <w:rPr>
          <w:rFonts w:ascii="Arial" w:hAnsi="Arial" w:cs="Arial"/>
          <w:sz w:val="20"/>
          <w:szCs w:val="20"/>
        </w:rPr>
        <w:t xml:space="preserve">The Union of Local Authorities of the Philippines (ULAP), as the national umbrella organization of all leagues of local government units (LGUs), supports the rationalization of the rules on class and work suspension during disasters and emergencies. The measure affects not only school operations and workforce continuity but also the command structure of local disaster response. Because local chief executives chair their respective Local Disaster Risk Reduction and Management Councils (LDRRMCs) under Republic Act No. 10121 and bear the first operational burden when hazards materialize, any amendment to Executive Order No. 66, s. 2012, must strengthen safety and coordination without diluting lawful local authority or shifting unfunded obligations to LGUs.</w:t>
      </w:r>
    </w:p>
    <w:p>
      <w:pPr>
        <w:spacing w:before="0" w:after="140" w:line="264" w:lineRule="auto"/>
        <w:jc w:val="both"/>
      </w:pPr>
      <w:r>
        <w:rPr>
          <w:rFonts w:ascii="Arial" w:hAnsi="Arial" w:cs="Arial"/>
          <w:sz w:val="20"/>
          <w:szCs w:val="20"/>
        </w:rPr>
        <w:t xml:space="preserve">The 24 February 2026 draft is a serious improvement over fragmented practice. It moves toward science-based triggers, recognizes granular school-level action, and attempts to integrate Alternative Delivery Modalities (ADMs) into emergency response. Several clauses still require revision before finalization. As presently written, the draft contains ambiguity on the legal effect of local suspension authority, an unresolved heat-index placeholder, an avoidable risk of unfunded local obligations in ADM implementation, and central-local coordination language that could delay urgent decisions on the ground. ULAP therefore respectfully submits the following comments and recommendations to improve operationalization while preserving the constitutional architecture of decentralization.</w:t>
      </w:r>
    </w:p>
    <w:p>
      <w:pPr>
        <w:keepNext/>
        <w:spacing w:before="220" w:after="100" w:line="264" w:lineRule="auto"/>
        <w:jc w:val="left"/>
      </w:pPr>
      <w:r>
        <w:rPr>
          <w:rFonts w:ascii="Arial" w:hAnsi="Arial" w:cs="Arial"/>
          <w:b/>
          <w:bCs/>
          <w:sz w:val="20"/>
          <w:szCs w:val="20"/>
        </w:rPr>
        <w:t xml:space="preserve">Comments and Recommendations</w:t>
      </w:r>
    </w:p>
    <w:p>
      <w:pPr>
        <w:keepNext/>
        <w:spacing w:before="180" w:after="90" w:line="264" w:lineRule="auto"/>
        <w:jc w:val="both"/>
      </w:pPr>
      <w:r>
        <w:rPr>
          <w:rFonts w:ascii="Arial" w:hAnsi="Arial" w:cs="Arial"/>
          <w:b/>
          <w:bCs/>
          <w:sz w:val="20"/>
          <w:szCs w:val="20"/>
        </w:rPr>
        <w:t xml:space="preserve">1. Section 2 should expressly state that the authority of Local Chief Executives to declare localized suspension is self-executing and does not require prior concurrence from national agencies.</w:t>
      </w:r>
    </w:p>
    <w:p>
      <w:pPr>
        <w:spacing w:before="0" w:after="140" w:line="264" w:lineRule="auto"/>
        <w:jc w:val="both"/>
      </w:pPr>
      <w:r>
        <w:rPr>
          <w:rFonts w:ascii="Arial" w:hAnsi="Arial" w:cs="Arial"/>
          <w:sz w:val="20"/>
          <w:szCs w:val="20"/>
        </w:rPr>
        <w:t xml:space="preserve">The phrase “in coordination with relevant agencies” is sound if read as an obligation of communication and information-sharing. It becomes problematic if read by field officers as a condition precedent. In actual emergencies, that ambiguity can cost critical hours while floodwaters rise, roads fail, or storm surge risk intensifies. Under Republic Act No. 10121, the Local Chief Executive already chairs the LDRRMC. The Executive Order should remove doubt and affirm that local suspension decisions may take effect immediately on the basis of local risk assessment.</w:t>
      </w:r>
    </w:p>
    <w:p>
      <w:pPr>
        <w:spacing w:before="0" w:after="140" w:line="264" w:lineRule="auto"/>
        <w:jc w:val="both"/>
      </w:pPr>
      <w:r>
        <w:rPr>
          <w:rFonts w:ascii="Arial" w:hAnsi="Arial" w:cs="Arial"/>
          <w:sz w:val="20"/>
          <w:szCs w:val="20"/>
        </w:rPr>
        <w:t xml:space="preserve">ULAP recommends revising Section 2 to read:</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Localized cancellation or suspension of face-to-face classes and work may be implemented by Local Chief Executives, as Chairpersons of the concerned Local Disaster Risk Reduction and Management Councils, based on local risk assessments and in contemporaneous coordination with relevant agencies, without need of prior concurrence, subject to immediate public announcement and documentation of the basis therefor.</w:t>
      </w:r>
    </w:p>
    <w:p>
      <w:pPr>
        <w:keepNext/>
        <w:spacing w:before="180" w:after="90" w:line="264" w:lineRule="auto"/>
        <w:jc w:val="both"/>
      </w:pPr>
      <w:r>
        <w:rPr>
          <w:rFonts w:ascii="Arial" w:hAnsi="Arial" w:cs="Arial"/>
          <w:b/>
          <w:bCs/>
          <w:sz w:val="20"/>
          <w:szCs w:val="20"/>
        </w:rPr>
        <w:t xml:space="preserve">2. The draft should pair the announcement deadlines in Sections 1 and 2 with a mandatory direct relay protocol from DOST-PAGASA, DOST-PHIVOLCS, DENR-EMB, and NDRRMC to LDRRMC secretariats and official LGU channels.</w:t>
      </w:r>
    </w:p>
    <w:p>
      <w:pPr>
        <w:spacing w:before="0" w:after="140" w:line="264" w:lineRule="auto"/>
        <w:jc w:val="both"/>
      </w:pPr>
      <w:r>
        <w:rPr>
          <w:rFonts w:ascii="Arial" w:hAnsi="Arial" w:cs="Arial"/>
          <w:sz w:val="20"/>
          <w:szCs w:val="20"/>
        </w:rPr>
        <w:t xml:space="preserve">The timelines of not later than 10:00 PM on the preceding day and 4:30 AM on the day itself are reasonable as policy targets, but they are not self-executing in municipalities with thin staffing, island geography, or intermittent connectivity. A rule that depends on public social-media discovery rather than simultaneous official transmission will operate unevenly across localities. ULAP recommends adding, after the relevant advisory provisions in Section 1 and the announcement paragraph in Section 2, the following language:</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The issuing national agency shall simultaneously transmit the official advisory, including the delineation of affected areas, to the concerned LDRRMC secretariats and official LGU communication channels through digital, mobile, and other available official systems. Where communication systems are degraded, announcements made by the concerned LGU at the earliest practicable time shall remain valid, provided the factual basis is contemporaneously recorded.</w:t>
      </w:r>
    </w:p>
    <w:p>
      <w:pPr>
        <w:spacing w:before="0" w:after="140" w:line="264" w:lineRule="auto"/>
        <w:jc w:val="both"/>
      </w:pPr>
      <w:r>
        <w:rPr>
          <w:rFonts w:ascii="Arial" w:hAnsi="Arial" w:cs="Arial"/>
          <w:sz w:val="20"/>
          <w:szCs w:val="20"/>
        </w:rPr>
        <w:t xml:space="preserve">This amendment will reduce delay, create an auditable relay chain, and better protect geographically isolated and disadvantaged areas.</w:t>
      </w:r>
    </w:p>
    <w:p>
      <w:pPr>
        <w:keepNext/>
        <w:spacing w:before="180" w:after="90" w:line="264" w:lineRule="auto"/>
        <w:jc w:val="both"/>
      </w:pPr>
      <w:r>
        <w:rPr>
          <w:rFonts w:ascii="Arial" w:hAnsi="Arial" w:cs="Arial"/>
          <w:b/>
          <w:bCs/>
          <w:sz w:val="20"/>
          <w:szCs w:val="20"/>
        </w:rPr>
        <w:t xml:space="preserve">3. Section 2(d) on extreme heat conditions must be completed and made enforceable.</w:t>
      </w:r>
    </w:p>
    <w:p>
      <w:pPr>
        <w:spacing w:before="0" w:after="140" w:line="264" w:lineRule="auto"/>
        <w:jc w:val="both"/>
      </w:pPr>
      <w:r>
        <w:rPr>
          <w:rFonts w:ascii="Arial" w:hAnsi="Arial" w:cs="Arial"/>
          <w:sz w:val="20"/>
          <w:szCs w:val="20"/>
        </w:rPr>
        <w:t xml:space="preserve">The current text still contains the placeholder “when a (indicate qualified heat index) is reported by DOST-PAGASA.” A safety trigger cannot be left unresolved in the body of the Executive Order. The omission is particularly significant because extreme heat is now recurring rather than episodic, and indoor classroom conditions can become dangerous even where other hazard indicators are absent. ULAP recommends specifying a national default threshold tied to PAGASA’s heat-index categories, while preserving local discretion to act earlier where classroom conditions, humidity, ventilation, or local exposure justify it. ULAP proposes that Section 2(d) be revised to read:</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Extreme Heat Conditions — when a danger heat index of 42°C or higher is forecast or reported by DOST-PAGASA; provided that Local Chief Executives and school heads may suspend face-to-face classes at lower heat-index levels when local conditions pose a clear risk to the health and safety of learners, teachers, or personnel.</w:t>
      </w:r>
    </w:p>
    <w:p>
      <w:pPr>
        <w:spacing w:before="0" w:after="140" w:line="264" w:lineRule="auto"/>
        <w:jc w:val="both"/>
      </w:pPr>
      <w:r>
        <w:rPr>
          <w:rFonts w:ascii="Arial" w:hAnsi="Arial" w:cs="Arial"/>
          <w:sz w:val="20"/>
          <w:szCs w:val="20"/>
        </w:rPr>
        <w:t xml:space="preserve">This approach solves the drafting gap without converting the national threshold into a rigid ceiling.</w:t>
      </w:r>
    </w:p>
    <w:p>
      <w:pPr>
        <w:keepNext/>
        <w:spacing w:before="180" w:after="90" w:line="264" w:lineRule="auto"/>
        <w:jc w:val="both"/>
      </w:pPr>
      <w:r>
        <w:rPr>
          <w:rFonts w:ascii="Arial" w:hAnsi="Arial" w:cs="Arial"/>
          <w:b/>
          <w:bCs/>
          <w:sz w:val="20"/>
          <w:szCs w:val="20"/>
        </w:rPr>
        <w:t xml:space="preserve">4. Sections 4 and 5, read together with Section 7(d), should be revised to prevent the creation of an unfunded or underfunded local mandate.</w:t>
      </w:r>
    </w:p>
    <w:p>
      <w:pPr>
        <w:spacing w:before="0" w:after="140" w:line="264" w:lineRule="auto"/>
        <w:jc w:val="both"/>
      </w:pPr>
      <w:r>
        <w:rPr>
          <w:rFonts w:ascii="Arial" w:hAnsi="Arial" w:cs="Arial"/>
          <w:sz w:val="20"/>
          <w:szCs w:val="20"/>
        </w:rPr>
        <w:t xml:space="preserve">ULAP supports the policy objective of preserving learning continuity through modular, online, or blended delivery. The phrase in Section 5 that DepEd and CHED shall implement ADMs “with the assistance of the LGUs,” and the further directive in Section 7(d) that LGUs are “to provide full support” to learning institutions in implementing ADMs, may be read as a standing obligation for LGUs to absorb printing, module distribution, transport, device access, connectivity, or logistical costs without any corresponding funding mechanism.</w:t>
      </w:r>
    </w:p>
    <w:p>
      <w:pPr>
        <w:spacing w:before="0" w:after="140" w:line="264" w:lineRule="auto"/>
        <w:jc w:val="both"/>
      </w:pPr>
      <w:r>
        <w:rPr>
          <w:rFonts w:ascii="Arial" w:hAnsi="Arial" w:cs="Arial"/>
          <w:sz w:val="20"/>
          <w:szCs w:val="20"/>
        </w:rPr>
        <w:t xml:space="preserve">That is not a minor drafting issue. DepEd itself reported in February 2025 that 1,855 schools were affected by disasters in 2024, requiring approximately Php 6.6 billion in classroom repairs and Php 6.3 billion in classroom replacement, while its annual Quick Response Fund remained substantially below total need. If national education continuity is already under fiscal strain at the central level, the Executive Order should not silently transfer the residual burden to provinces, cities, municipalities, and barangays. ULAP recommends revising Section 5 and Section 7(d) to state:</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DepEd and CHED shall remain primarily responsible for the design, funding, and implementation of Alternative Delivery Modalities, including the preparation and prepositioning of learning materials and continuity protocols. LGU assistance may be tapped subject to available local funds, existing local learning and disaster plans, and such national cost-sharing, reimbursement, or support mechanisms as may be provided by law or subsequent guidelines.</w:t>
      </w:r>
    </w:p>
    <w:p>
      <w:pPr>
        <w:spacing w:before="0" w:after="140" w:line="264" w:lineRule="auto"/>
        <w:jc w:val="both"/>
      </w:pPr>
      <w:r>
        <w:rPr>
          <w:rFonts w:ascii="Arial" w:hAnsi="Arial" w:cs="Arial"/>
          <w:sz w:val="20"/>
          <w:szCs w:val="20"/>
        </w:rPr>
        <w:t xml:space="preserve">ULAP further recommends a new clause directing DepEd, CHED, DILG, DBM, and ULAP to establish a standard local learning continuity protocol, including pre-identified schools in last-mile areas, module distribution plans, and emergency logistics arrangements before each school year.</w:t>
      </w:r>
    </w:p>
    <w:p>
      <w:pPr>
        <w:keepNext/>
        <w:spacing w:before="180" w:after="90" w:line="264" w:lineRule="auto"/>
        <w:jc w:val="both"/>
      </w:pPr>
      <w:r>
        <w:rPr>
          <w:rFonts w:ascii="Arial" w:hAnsi="Arial" w:cs="Arial"/>
          <w:b/>
          <w:bCs/>
          <w:sz w:val="20"/>
          <w:szCs w:val="20"/>
        </w:rPr>
        <w:t xml:space="preserve">5. Section 7 should formally include ULAP and the league structure in the formulation of implementing guidelines.</w:t>
      </w:r>
    </w:p>
    <w:p>
      <w:pPr>
        <w:spacing w:before="0" w:after="140" w:line="264" w:lineRule="auto"/>
        <w:jc w:val="both"/>
      </w:pPr>
      <w:r>
        <w:rPr>
          <w:rFonts w:ascii="Arial" w:hAnsi="Arial" w:cs="Arial"/>
          <w:sz w:val="20"/>
          <w:szCs w:val="20"/>
        </w:rPr>
        <w:t xml:space="preserve">The draft correctly assigns to DILG, DepEd, and CHED the responsibility of issuing operational guidelines. Yet the very institutions expected to implement and absorb the effects of those guidelines are not expressly included in the consultative process. This is a structural weakness. LGU operational realities differ sharply across provinces, highly urbanized cities, component cities, municipalities, and barangays; rules written without that implementation diversity in mind tend to either over-centralize or collapse into exceptions. ULAP recommends that Section 7(a), Section 7(b), and Section 7(c) be supplemented with the following clause:</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In formulating the guidelines under this Order, the concerned agencies shall undertake formal consultation with ULAP and the relevant leagues of local government units and local officials to ensure that the guidelines are administratively feasible, fiscally realistic, and responsive to local conditions.</w:t>
      </w:r>
    </w:p>
    <w:p>
      <w:pPr>
        <w:spacing w:before="0" w:after="140" w:line="264" w:lineRule="auto"/>
        <w:jc w:val="both"/>
      </w:pPr>
      <w:r>
        <w:rPr>
          <w:rFonts w:ascii="Arial" w:hAnsi="Arial" w:cs="Arial"/>
          <w:sz w:val="20"/>
          <w:szCs w:val="20"/>
        </w:rPr>
        <w:t xml:space="preserve">This is not merely representational. It is the difference between a rule that is publishable and a rule that is actually workable.</w:t>
      </w:r>
    </w:p>
    <w:p>
      <w:pPr>
        <w:keepNext/>
        <w:spacing w:before="180" w:after="90" w:line="264" w:lineRule="auto"/>
        <w:jc w:val="both"/>
      </w:pPr>
      <w:r>
        <w:rPr>
          <w:rFonts w:ascii="Arial" w:hAnsi="Arial" w:cs="Arial"/>
          <w:b/>
          <w:bCs/>
          <w:sz w:val="20"/>
          <w:szCs w:val="20"/>
        </w:rPr>
        <w:t xml:space="preserve">6. Section 8 on reporting, and the broader accountability framework of the draft, should require LGU-generated implementation data and not rely solely on central reporting channels.</w:t>
      </w:r>
    </w:p>
    <w:p>
      <w:pPr>
        <w:spacing w:before="0" w:after="140" w:line="264" w:lineRule="auto"/>
        <w:jc w:val="both"/>
      </w:pPr>
      <w:r>
        <w:rPr>
          <w:rFonts w:ascii="Arial" w:hAnsi="Arial" w:cs="Arial"/>
          <w:sz w:val="20"/>
          <w:szCs w:val="20"/>
        </w:rPr>
        <w:t xml:space="preserve">The annual-reporting clause is useful, but as drafted it centers national agencies without expressly capturing localized suspensions, granular school actions, communications delays, and local ADM burdens. That omission would weaken future policy evaluation. ULAP recommends adding the following language to Section 8:</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The annual report shall include inputs from Local Disaster Risk Reduction and Management Councils, including data on localized suspensions, basis of declaration, communication timelines, ADM support requirements, and implementation gaps. The reporting template shall be standardized and jointly developed by NDRRMC, DILG, DepEd, CHED, and ULAP.</w:t>
      </w:r>
    </w:p>
    <w:p>
      <w:pPr>
        <w:spacing w:before="0" w:after="140" w:line="264" w:lineRule="auto"/>
        <w:jc w:val="both"/>
      </w:pPr>
      <w:r>
        <w:rPr>
          <w:rFonts w:ascii="Arial" w:hAnsi="Arial" w:cs="Arial"/>
          <w:sz w:val="20"/>
          <w:szCs w:val="20"/>
        </w:rPr>
        <w:t xml:space="preserve">This will allow the State to evaluate not only how often suspensions occur, but whether the system is functioning equitably across localities.</w:t>
      </w:r>
    </w:p>
    <w:p>
      <w:pPr>
        <w:keepNext/>
        <w:spacing w:before="180" w:after="90" w:line="264" w:lineRule="auto"/>
        <w:jc w:val="both"/>
      </w:pPr>
      <w:r>
        <w:rPr>
          <w:rFonts w:ascii="Arial" w:hAnsi="Arial" w:cs="Arial"/>
          <w:b/>
          <w:bCs/>
          <w:sz w:val="20"/>
          <w:szCs w:val="20"/>
        </w:rPr>
        <w:t xml:space="preserve">7. Section 9 on concurrent authority should clarify that national action sets a protective floor, not a ceiling that nullifies stricter or earlier local measures.</w:t>
      </w:r>
    </w:p>
    <w:p>
      <w:pPr>
        <w:spacing w:before="0" w:after="140" w:line="264" w:lineRule="auto"/>
        <w:jc w:val="both"/>
      </w:pPr>
      <w:r>
        <w:rPr>
          <w:rFonts w:ascii="Arial" w:hAnsi="Arial" w:cs="Arial"/>
          <w:sz w:val="20"/>
          <w:szCs w:val="20"/>
        </w:rPr>
        <w:t xml:space="preserve">ULAP recognizes the need for the Office of the President and the NDRRMC to act when conditions warrant nationwide or multi-jurisdictional intervention. As presently drafted, however, the clause on concurrent authority can be read to create uncertainty when a local declaration is broader, earlier, or more protective than a subsequent national announcement. In emergency governance, ambiguity tends to favor hesitation. ULAP recommends revising Section 9 to add:</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The exercise of concurrent authority by the Office of the President or the NDRRMC shall not invalidate or prejudice earlier, broader, or more protective suspension measures lawfully issued by Local Chief Executives within their territorial jurisdictions, unless expressly stated for compelling national reasons.</w:t>
      </w:r>
    </w:p>
    <w:p>
      <w:pPr>
        <w:spacing w:before="0" w:after="140" w:line="264" w:lineRule="auto"/>
        <w:jc w:val="both"/>
      </w:pPr>
      <w:r>
        <w:rPr>
          <w:rFonts w:ascii="Arial" w:hAnsi="Arial" w:cs="Arial"/>
          <w:sz w:val="20"/>
          <w:szCs w:val="20"/>
        </w:rPr>
        <w:t xml:space="preserve">This preserves the ability of local governments to respond to hyper-local risk while maintaining the coordinating authority of the national government.</w:t>
      </w:r>
    </w:p>
    <w:p>
      <w:pPr>
        <w:keepNext/>
        <w:spacing w:before="180" w:after="90" w:line="264" w:lineRule="auto"/>
        <w:jc w:val="both"/>
      </w:pPr>
      <w:r>
        <w:rPr>
          <w:rFonts w:ascii="Arial" w:hAnsi="Arial" w:cs="Arial"/>
          <w:b/>
          <w:bCs/>
          <w:sz w:val="20"/>
          <w:szCs w:val="20"/>
        </w:rPr>
        <w:t xml:space="preserve">8. The draft should also correct internal drafting defects and strengthen the treatment of private and school-level decisions.</w:t>
      </w:r>
    </w:p>
    <w:p>
      <w:pPr>
        <w:spacing w:before="0" w:after="140" w:line="264" w:lineRule="auto"/>
        <w:jc w:val="both"/>
      </w:pPr>
      <w:r>
        <w:rPr>
          <w:rFonts w:ascii="Arial" w:hAnsi="Arial" w:cs="Arial"/>
          <w:sz w:val="20"/>
          <w:szCs w:val="20"/>
        </w:rPr>
        <w:t xml:space="preserve">The duplicate language in Section 5 on the implementation of modular, online, and blended learning should be removed for precision. More importantly, the obligation of school heads under Section 3 to notify DepEd and the concerned Local Chief Executive should be framed as immediate or real-time notice, because repeated granular suspensions across a locality are themselves decision-support information for possible municipality-wide or city-wide action. The provisions in Sections 1(b)(iii), 1(c)(ii), and 1(d)(ii) should also be supplemented to recognize the authority of Local Chief Executives to issue harmonizing advisories to private institutions within their jurisdictions, without prejudicing institutional autonomy. ULAP recommends adding the following language:</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School heads and relevant education authorities shall immediately inform the concerned Local Chief Executive of any granular suspension declared under this Section. Local Chief Executives may issue harmonizing local advisories to private learning institutions to promote public clarity and safety, without prejudice to institutional autonomy.</w:t>
      </w:r>
    </w:p>
    <w:p>
      <w:pPr>
        <w:spacing w:before="0" w:after="140" w:line="264" w:lineRule="auto"/>
        <w:jc w:val="both"/>
      </w:pPr>
      <w:r>
        <w:rPr>
          <w:rFonts w:ascii="Arial" w:hAnsi="Arial" w:cs="Arial"/>
          <w:sz w:val="20"/>
          <w:szCs w:val="20"/>
        </w:rPr>
        <w:t xml:space="preserve">This is a modest amendment with substantial coordination value.</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the issuance of the proposed amendment to Executive Order No. 66, s. 2012, provided the foregoing revisions are adopted. The State has every right to demand science-based, timely, and orderly suspension protocols, and it should demand no less. A sound national rule must still respect the legal fact that disasters are ultimately experienced locally, judged locally, and first responded to locally. In emergency governance, ambiguity is not neutral; it transfers risk downward. The better Executive Order gives national science its full weight, preserves the lawful decision-space of Local Chief Executives, and aligns educational continuity with fiscal and operational reality. ULAP stands ready to work with DepEd, DILG, NDRRMC, CHED, TESDA, and the Office of the President to finalize a measure that is both disciplined in design and workable on the ground.</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jc w:val="center"/>
    </w:pPr>
    <w:r/>
    <w:r>
      <w:rPr>
        <w:color w:val="8A93A3"/>
        <w:sz w:val="16"/>
      </w:rPr>
      <w:t>ULAP Internal Document — Not for circulation without NEB Board approval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