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left"/>
      </w:pPr>
      <w:r>
        <w:rPr>
          <w:b/>
          <w:color w:val="B23B3B"/>
          <w:sz w:val="22"/>
        </w:rPr>
        <w:t>CONFIDENTIAL — ULAP INTERNAL WORKING DRAFT</w:t>
      </w:r>
    </w:p>
    <w:p>
      <w:pPr>
        <w:jc w:val="left"/>
      </w:pPr>
      <w:r>
        <w:rPr>
          <w:i/>
          <w:color w:val="5A6473"/>
          <w:sz w:val="18"/>
        </w:rPr>
        <w:t>This is an internal working draft of the Union of Local Authorities of the Philippines (ULAP) National Executive Board. It must not be circulated, published, or forwarded outside ULAP without prior approval of the ULAP National Executive Board.</w:t>
      </w:r>
    </w:p>
    <w:p/>
    <w:p>
      <w:pPr>
        <w:spacing w:before="0" w:after="0" w:line="1980" w:lineRule="exact"/>
        <w:jc w:val="left"/>
      </w:pPr>
    </w:p>
    <w:p>
      <w:pPr>
        <w:spacing w:before="0" w:after="40" w:line="264" w:lineRule="auto"/>
        <w:jc w:val="center"/>
      </w:pPr>
      <w:r>
        <w:rPr>
          <w:rFonts w:ascii="Arial" w:hAnsi="Arial" w:cs="Arial"/>
          <w:b/>
          <w:bCs/>
          <w:sz w:val="24"/>
          <w:szCs w:val="24"/>
        </w:rPr>
        <w:t xml:space="preserve">POSITION PAPER ON THE PROPOSED AMENDMENTS TO REPUBLIC ACT NO. 11310,</w:t>
      </w:r>
    </w:p>
    <w:p>
      <w:pPr>
        <w:spacing w:before="40" w:after="200" w:line="264" w:lineRule="auto"/>
        <w:jc w:val="center"/>
      </w:pPr>
      <w:r>
        <w:rPr>
          <w:rFonts w:ascii="Arial" w:hAnsi="Arial" w:cs="Arial"/>
          <w:b/>
          <w:bCs/>
          <w:sz w:val="24"/>
          <w:szCs w:val="24"/>
        </w:rPr>
        <w:t xml:space="preserve">THE PANTAWID PAMILYANG PILIPINO PROGRAM ACT</w:t>
      </w:r>
    </w:p>
    <w:p>
      <w:pPr>
        <w:spacing w:before="0" w:after="140" w:line="264" w:lineRule="auto"/>
        <w:jc w:val="both"/>
      </w:pPr>
      <w:r>
        <w:rPr>
          <w:rFonts w:ascii="Arial" w:hAnsi="Arial" w:cs="Arial"/>
          <w:sz w:val="20"/>
          <w:szCs w:val="20"/>
        </w:rPr>
        <w:t xml:space="preserve">The Union of Local Authorities of the Philippines (ULAP), as the umbrella organization of the leagues of local government units (LGUs) and local officials across the country, supports efforts to strengthen the Pantawid Pamilyang Pilipino Program (4Ps) under Republic Act No. 11310. The Program remains one of the State’s principal social protection measures. Because its implementation is experienced by households through barangays, local social welfare and development offices, schools, health facilities, local employment services, and local disaster-response systems, any amendment to the 4Ps law must be not only socially sound but administratively workable at the local level.</w:t>
      </w:r>
    </w:p>
    <w:p>
      <w:pPr>
        <w:spacing w:before="0" w:after="140" w:line="264" w:lineRule="auto"/>
        <w:jc w:val="both"/>
      </w:pPr>
      <w:r>
        <w:rPr>
          <w:rFonts w:ascii="Arial" w:hAnsi="Arial" w:cs="Arial"/>
          <w:sz w:val="20"/>
          <w:szCs w:val="20"/>
        </w:rPr>
        <w:t xml:space="preserve">ULAP recognizes the objectives behind the proposed amendments, particularly the effort to improve beneficiary targeting, strengthen case management, refine graduation and compliance rules, and make the Program more responsive to changing household conditions. To improve operationalization and preserve effective intergovernmental coordination, ULAP respectfully submits the following comments and recommendations.</w:t>
      </w:r>
    </w:p>
    <w:p>
      <w:pPr>
        <w:keepNext/>
        <w:spacing w:before="220" w:after="100" w:line="264" w:lineRule="auto"/>
        <w:jc w:val="left"/>
      </w:pPr>
      <w:r>
        <w:rPr>
          <w:rFonts w:ascii="Arial" w:hAnsi="Arial" w:cs="Arial"/>
          <w:b/>
          <w:bCs/>
          <w:sz w:val="20"/>
          <w:szCs w:val="20"/>
        </w:rPr>
        <w:t xml:space="preserve">ULAP’s Comments and Recommendations</w:t>
      </w:r>
    </w:p>
    <w:p>
      <w:pPr>
        <w:keepNext/>
        <w:spacing w:before="180" w:after="90" w:line="264" w:lineRule="auto"/>
        <w:jc w:val="both"/>
      </w:pPr>
      <w:r>
        <w:rPr>
          <w:rFonts w:ascii="Arial" w:hAnsi="Arial" w:cs="Arial"/>
          <w:b/>
          <w:bCs/>
          <w:sz w:val="20"/>
          <w:szCs w:val="20"/>
        </w:rPr>
        <w:t xml:space="preserve">1. Clarify LGU functions in beneficiary management and local convergence.</w:t>
      </w:r>
    </w:p>
    <w:p>
      <w:pPr>
        <w:spacing w:before="0" w:after="140" w:line="264" w:lineRule="auto"/>
        <w:jc w:val="both"/>
      </w:pPr>
      <w:r>
        <w:rPr>
          <w:rFonts w:ascii="Arial" w:hAnsi="Arial" w:cs="Arial"/>
          <w:sz w:val="20"/>
          <w:szCs w:val="20"/>
        </w:rPr>
        <w:t xml:space="preserve">The current direction of the proposed amendments, as reflected in the existing ULAP working draft and related briefing materials, assumes continued LGU participation in validation, case referral, grievance facilitation, family development support, and local convergence. Where local functions are implied rather than clearly defined, accountability becomes blurred and LGUs can be expected to absorb program tasks without clear authority, systems access, or support.</w:t>
      </w:r>
    </w:p>
    <w:p>
      <w:pPr>
        <w:spacing w:before="0" w:after="140" w:line="264" w:lineRule="auto"/>
        <w:jc w:val="both"/>
      </w:pPr>
      <w:r>
        <w:rPr>
          <w:rFonts w:ascii="Arial" w:hAnsi="Arial" w:cs="Arial"/>
          <w:sz w:val="20"/>
          <w:szCs w:val="20"/>
        </w:rPr>
        <w:t xml:space="preserve">The law should expressly preserve the Department of Social Welfare and Development (DSWD) as lead agency for targeting, payment administration, national standards, and final determinations on suspension, delisting, and graduation, while clearly defining LGU roles as supportive and convergence-oriented functions.</w:t>
      </w:r>
    </w:p>
    <w:p>
      <w:pPr>
        <w:ind w:left="720" w:right="360"/>
        <w:spacing w:before="90" w:after="140" w:line="264" w:lineRule="auto"/>
        <w:jc w:val="both"/>
      </w:pPr>
      <w:r>
        <w:rPr>
          <w:rFonts w:ascii="Arial" w:hAnsi="Arial" w:cs="Arial"/>
          <w:b/>
          <w:bCs/>
          <w:sz w:val="20"/>
          <w:szCs w:val="20"/>
        </w:rPr>
        <w:t xml:space="preserve">Suggested language:</w:t>
      </w:r>
      <w:r>
        <w:rPr>
          <w:rFonts w:ascii="Arial" w:hAnsi="Arial" w:cs="Arial"/>
          <w:sz w:val="20"/>
          <w:szCs w:val="20"/>
        </w:rPr>
        <w:t xml:space="preserve"> </w:t>
      </w:r>
      <w:r>
        <w:rPr>
          <w:rFonts w:ascii="Arial" w:hAnsi="Arial" w:cs="Arial"/>
          <w:i/>
          <w:iCs/>
          <w:sz w:val="20"/>
          <w:szCs w:val="20"/>
        </w:rPr>
        <w:t xml:space="preserve">The Department of Social Welfare and Development shall remain the lead agency for beneficiary targeting, payment administration, national database management, program standards, and decisions on suspension, delisting, and graduation. Local government units may assist in validation support, case referral, complementary social service delivery, grievance facilitation, local convergence, and transition planning, in accordance with national standards and subject to appropriate operational support.</w:t>
      </w:r>
    </w:p>
    <w:p>
      <w:pPr>
        <w:keepNext/>
        <w:spacing w:before="180" w:after="90" w:line="264" w:lineRule="auto"/>
        <w:jc w:val="both"/>
      </w:pPr>
      <w:r>
        <w:rPr>
          <w:rFonts w:ascii="Arial" w:hAnsi="Arial" w:cs="Arial"/>
          <w:b/>
          <w:bCs/>
          <w:sz w:val="20"/>
          <w:szCs w:val="20"/>
        </w:rPr>
        <w:t xml:space="preserve">2. Create a structured channel for validated local inputs.</w:t>
      </w:r>
    </w:p>
    <w:p>
      <w:pPr>
        <w:spacing w:before="0" w:after="140" w:line="264" w:lineRule="auto"/>
        <w:jc w:val="both"/>
      </w:pPr>
      <w:r>
        <w:rPr>
          <w:rFonts w:ascii="Arial" w:hAnsi="Arial" w:cs="Arial"/>
          <w:sz w:val="20"/>
          <w:szCs w:val="20"/>
        </w:rPr>
        <w:t xml:space="preserve">Poverty and vulnerability are dynamic. Household conditions may materially change because of illness, disaster, displacement, disability, family disruption, or loss of livelihood. A purely periodic or exclusively national update process can lag behind actual local conditions, particularly after shocks that are first recorded by barangays, local social welfare offices, schools, health units, and local disaster-risk offices.</w:t>
      </w:r>
    </w:p>
    <w:p>
      <w:pPr>
        <w:spacing w:before="0" w:after="140" w:line="264" w:lineRule="auto"/>
        <w:jc w:val="both"/>
      </w:pPr>
      <w:r>
        <w:rPr>
          <w:rFonts w:ascii="Arial" w:hAnsi="Arial" w:cs="Arial"/>
          <w:sz w:val="20"/>
          <w:szCs w:val="20"/>
        </w:rPr>
        <w:t xml:space="preserve">The amendments should preserve the integrity of Listahanan and the national 4Ps database, but establish a structured mechanism through which validated local information can trigger review and updating by DSWD. Congress may also consider requiring interoperability, or at least data harmonization, across major social assistance programs so that the same household is not repeatedly subjected to fragmented intake and verification systems.</w:t>
      </w:r>
    </w:p>
    <w:p>
      <w:pPr>
        <w:ind w:left="720" w:right="360"/>
        <w:spacing w:before="90" w:after="140" w:line="264" w:lineRule="auto"/>
        <w:jc w:val="both"/>
      </w:pPr>
      <w:r>
        <w:rPr>
          <w:rFonts w:ascii="Arial" w:hAnsi="Arial" w:cs="Arial"/>
          <w:b/>
          <w:bCs/>
          <w:sz w:val="20"/>
          <w:szCs w:val="20"/>
        </w:rPr>
        <w:t xml:space="preserve">Suggested language:</w:t>
      </w:r>
      <w:r>
        <w:rPr>
          <w:rFonts w:ascii="Arial" w:hAnsi="Arial" w:cs="Arial"/>
          <w:sz w:val="20"/>
          <w:szCs w:val="20"/>
        </w:rPr>
        <w:t xml:space="preserve"> </w:t>
      </w:r>
      <w:r>
        <w:rPr>
          <w:rFonts w:ascii="Arial" w:hAnsi="Arial" w:cs="Arial"/>
          <w:i/>
          <w:iCs/>
          <w:sz w:val="20"/>
          <w:szCs w:val="20"/>
        </w:rPr>
        <w:t xml:space="preserve">Listahanan and other authorized national poverty targeting systems shall remain the principal basis for eligibility determination. The Department of Social Welfare and Development shall, however, establish a formal mechanism for the receipt, validation, and timely assessment of verified local inputs from barangays and local government units on residence, family composition, disability, pregnancy, displacement, school attendance, health compliance, and disaster impact, subject to uniform national standards.</w:t>
      </w:r>
    </w:p>
    <w:p>
      <w:pPr>
        <w:keepNext/>
        <w:spacing w:before="180" w:after="90" w:line="264" w:lineRule="auto"/>
        <w:jc w:val="both"/>
      </w:pPr>
      <w:r>
        <w:rPr>
          <w:rFonts w:ascii="Arial" w:hAnsi="Arial" w:cs="Arial"/>
          <w:b/>
          <w:bCs/>
          <w:sz w:val="20"/>
          <w:szCs w:val="20"/>
        </w:rPr>
        <w:t xml:space="preserve">3. Strengthen due process for suspension, delisting, and graduation.</w:t>
      </w:r>
    </w:p>
    <w:p>
      <w:pPr>
        <w:spacing w:before="0" w:after="140" w:line="264" w:lineRule="auto"/>
        <w:jc w:val="both"/>
      </w:pPr>
      <w:r>
        <w:rPr>
          <w:rFonts w:ascii="Arial" w:hAnsi="Arial" w:cs="Arial"/>
          <w:sz w:val="20"/>
          <w:szCs w:val="20"/>
        </w:rPr>
        <w:t xml:space="preserve">Suspension, delisting, and graduation decisions have immediate consequences at community level. When notice is unclear, delayed, or not understandable to beneficiaries, the burden of explaining the action and managing the resulting social tension often falls on local officials and frontline local staff. A stronger due-process framework is therefore not merely a beneficiary protection issue; it is also an implementation-stability issue for LGUs.</w:t>
      </w:r>
    </w:p>
    <w:p>
      <w:pPr>
        <w:spacing w:before="0" w:after="140" w:line="264" w:lineRule="auto"/>
        <w:jc w:val="both"/>
      </w:pPr>
      <w:r>
        <w:rPr>
          <w:rFonts w:ascii="Arial" w:hAnsi="Arial" w:cs="Arial"/>
          <w:sz w:val="20"/>
          <w:szCs w:val="20"/>
        </w:rPr>
        <w:t xml:space="preserve">The law should require prior notice, a clear statement of grounds, a reasonable opportunity to respond, and an accessible grievance and review process before suspension, delisting, or graduation takes effect, except in narrowly defined fraud or emergency circumstances authorized by law.</w:t>
      </w:r>
    </w:p>
    <w:p>
      <w:pPr>
        <w:ind w:left="720" w:right="360"/>
        <w:spacing w:before="90" w:after="140" w:line="264" w:lineRule="auto"/>
        <w:jc w:val="both"/>
      </w:pPr>
      <w:r>
        <w:rPr>
          <w:rFonts w:ascii="Arial" w:hAnsi="Arial" w:cs="Arial"/>
          <w:b/>
          <w:bCs/>
          <w:sz w:val="20"/>
          <w:szCs w:val="20"/>
        </w:rPr>
        <w:t xml:space="preserve">Suggested language:</w:t>
      </w:r>
      <w:r>
        <w:rPr>
          <w:rFonts w:ascii="Arial" w:hAnsi="Arial" w:cs="Arial"/>
          <w:sz w:val="20"/>
          <w:szCs w:val="20"/>
        </w:rPr>
        <w:t xml:space="preserve"> </w:t>
      </w:r>
      <w:r>
        <w:rPr>
          <w:rFonts w:ascii="Arial" w:hAnsi="Arial" w:cs="Arial"/>
          <w:i/>
          <w:iCs/>
          <w:sz w:val="20"/>
          <w:szCs w:val="20"/>
        </w:rPr>
        <w:t xml:space="preserve">No beneficiary household shall be suspended, delisted, or graduated from the Program without prior notice in an understandable form, a clear statement of the factual and legal basis for the proposed action, a reasonable opportunity to respond, and access to an appropriate grievance and review mechanism. Local government units may assist in facilitating local access to such processes, while final determinations shall remain with the Department of Social Welfare and Development or its duly authorized field offices.</w:t>
      </w:r>
    </w:p>
    <w:p>
      <w:pPr>
        <w:keepNext/>
        <w:spacing w:before="180" w:after="90" w:line="264" w:lineRule="auto"/>
        <w:jc w:val="both"/>
      </w:pPr>
      <w:r>
        <w:rPr>
          <w:rFonts w:ascii="Arial" w:hAnsi="Arial" w:cs="Arial"/>
          <w:b/>
          <w:bCs/>
          <w:sz w:val="20"/>
          <w:szCs w:val="20"/>
        </w:rPr>
        <w:t xml:space="preserve">4. Link graduation to transition planning and local service convergence.</w:t>
      </w:r>
    </w:p>
    <w:p>
      <w:pPr>
        <w:spacing w:before="0" w:after="140" w:line="264" w:lineRule="auto"/>
        <w:jc w:val="both"/>
      </w:pPr>
      <w:r>
        <w:rPr>
          <w:rFonts w:ascii="Arial" w:hAnsi="Arial" w:cs="Arial"/>
          <w:sz w:val="20"/>
          <w:szCs w:val="20"/>
        </w:rPr>
        <w:t xml:space="preserve">A household may satisfy formal graduation indicators and still remain highly vulnerable to relapse, especially where income gains are unstable or where the household is exposed to recurring shocks. Without a transition plan, graduation can become a statistical exit rather than a durable path to self-sufficiency. The effects of premature exit are then felt in local welfare, health, education, and employment systems.</w:t>
      </w:r>
    </w:p>
    <w:p>
      <w:pPr>
        <w:spacing w:before="0" w:after="140" w:line="264" w:lineRule="auto"/>
        <w:jc w:val="both"/>
      </w:pPr>
      <w:r>
        <w:rPr>
          <w:rFonts w:ascii="Arial" w:hAnsi="Arial" w:cs="Arial"/>
          <w:sz w:val="20"/>
          <w:szCs w:val="20"/>
        </w:rPr>
        <w:t xml:space="preserve">Graduation should be linked to a structured transition process involving DSWD and relevant LGUs, including referrals to livelihood, employment, alternative learning, skills training, nutrition, health, and disaster-recovery support as applicable. This is also where LGU PESOs, local social welfare offices, and other local mechanisms can add value without displacing national program leadership.</w:t>
      </w:r>
    </w:p>
    <w:p>
      <w:pPr>
        <w:ind w:left="720" w:right="360"/>
        <w:spacing w:before="90" w:after="140" w:line="264" w:lineRule="auto"/>
        <w:jc w:val="both"/>
      </w:pPr>
      <w:r>
        <w:rPr>
          <w:rFonts w:ascii="Arial" w:hAnsi="Arial" w:cs="Arial"/>
          <w:b/>
          <w:bCs/>
          <w:sz w:val="20"/>
          <w:szCs w:val="20"/>
        </w:rPr>
        <w:t xml:space="preserve">Suggested language:</w:t>
      </w:r>
      <w:r>
        <w:rPr>
          <w:rFonts w:ascii="Arial" w:hAnsi="Arial" w:cs="Arial"/>
          <w:sz w:val="20"/>
          <w:szCs w:val="20"/>
        </w:rPr>
        <w:t xml:space="preserve"> </w:t>
      </w:r>
      <w:r>
        <w:rPr>
          <w:rFonts w:ascii="Arial" w:hAnsi="Arial" w:cs="Arial"/>
          <w:i/>
          <w:iCs/>
          <w:sz w:val="20"/>
          <w:szCs w:val="20"/>
        </w:rPr>
        <w:t xml:space="preserve">A beneficiary household assessed as ready for graduation shall be provided a transition plan identifying appropriate post-program support, including livelihood, employment facilitation, education, health, nutrition, and other convergence interventions, in coordination with relevant local government units and national agencies, as may be applicable to the household’s circumstances.</w:t>
      </w:r>
    </w:p>
    <w:p>
      <w:pPr>
        <w:keepNext/>
        <w:spacing w:before="180" w:after="90" w:line="264" w:lineRule="auto"/>
        <w:jc w:val="both"/>
      </w:pPr>
      <w:r>
        <w:rPr>
          <w:rFonts w:ascii="Arial" w:hAnsi="Arial" w:cs="Arial"/>
          <w:b/>
          <w:bCs/>
          <w:sz w:val="20"/>
          <w:szCs w:val="20"/>
        </w:rPr>
        <w:t xml:space="preserve">5. Allow privacy-protected data sharing without parallel local registries.</w:t>
      </w:r>
    </w:p>
    <w:p>
      <w:pPr>
        <w:spacing w:before="0" w:after="140" w:line="264" w:lineRule="auto"/>
        <w:jc w:val="both"/>
      </w:pPr>
      <w:r>
        <w:rPr>
          <w:rFonts w:ascii="Arial" w:hAnsi="Arial" w:cs="Arial"/>
          <w:sz w:val="20"/>
          <w:szCs w:val="20"/>
        </w:rPr>
        <w:t xml:space="preserve">LGUs need sufficient beneficiary information to coordinate health, nutrition, education, livelihood, and disaster-response interventions. At the same time, overbroad or poorly governed data-sharing can create privacy risks, while requiring LGUs to maintain separate shadow registries can lead to duplication, inconsistency, and administrative confusion.</w:t>
      </w:r>
    </w:p>
    <w:p>
      <w:pPr>
        <w:spacing w:before="0" w:after="140" w:line="264" w:lineRule="auto"/>
        <w:jc w:val="both"/>
      </w:pPr>
      <w:r>
        <w:rPr>
          <w:rFonts w:ascii="Arial" w:hAnsi="Arial" w:cs="Arial"/>
          <w:sz w:val="20"/>
          <w:szCs w:val="20"/>
        </w:rPr>
        <w:t xml:space="preserve">The amendments should authorize minimum-necessary data-sharing with LGUs for service coordination, subject to written protocols, role-based access, audit trails, and full compliance with the Data Privacy Act. The law should also discourage duplicative local recordkeeping systems that replicate or conflict with the official beneficiary registry.</w:t>
      </w:r>
    </w:p>
    <w:p>
      <w:pPr>
        <w:ind w:left="720" w:right="360"/>
        <w:spacing w:before="90" w:after="140" w:line="264" w:lineRule="auto"/>
        <w:jc w:val="both"/>
      </w:pPr>
      <w:r>
        <w:rPr>
          <w:rFonts w:ascii="Arial" w:hAnsi="Arial" w:cs="Arial"/>
          <w:b/>
          <w:bCs/>
          <w:sz w:val="20"/>
          <w:szCs w:val="20"/>
        </w:rPr>
        <w:t xml:space="preserve">Suggested language:</w:t>
      </w:r>
      <w:r>
        <w:rPr>
          <w:rFonts w:ascii="Arial" w:hAnsi="Arial" w:cs="Arial"/>
          <w:sz w:val="20"/>
          <w:szCs w:val="20"/>
        </w:rPr>
        <w:t xml:space="preserve"> </w:t>
      </w:r>
      <w:r>
        <w:rPr>
          <w:rFonts w:ascii="Arial" w:hAnsi="Arial" w:cs="Arial"/>
          <w:i/>
          <w:iCs/>
          <w:sz w:val="20"/>
          <w:szCs w:val="20"/>
        </w:rPr>
        <w:t xml:space="preserve">The Department of Social Welfare and Development may share with local government units the minimum necessary beneficiary information required for health, education, nutrition, livelihood, disaster response, and social welfare convergence, subject to the Data Privacy Act of 2012, written data-sharing protocols, and appropriate safeguards against unauthorized use, disclosure, or duplication of records.</w:t>
      </w:r>
    </w:p>
    <w:p>
      <w:pPr>
        <w:keepNext/>
        <w:spacing w:before="180" w:after="90" w:line="264" w:lineRule="auto"/>
        <w:jc w:val="both"/>
      </w:pPr>
      <w:r>
        <w:rPr>
          <w:rFonts w:ascii="Arial" w:hAnsi="Arial" w:cs="Arial"/>
          <w:b/>
          <w:bCs/>
          <w:sz w:val="20"/>
          <w:szCs w:val="20"/>
        </w:rPr>
        <w:t xml:space="preserve">6. Fund local participation and avoid unfunded mandates.</w:t>
      </w:r>
    </w:p>
    <w:p>
      <w:pPr>
        <w:spacing w:before="0" w:after="140" w:line="264" w:lineRule="auto"/>
        <w:jc w:val="both"/>
      </w:pPr>
      <w:r>
        <w:rPr>
          <w:rFonts w:ascii="Arial" w:hAnsi="Arial" w:cs="Arial"/>
          <w:sz w:val="20"/>
          <w:szCs w:val="20"/>
        </w:rPr>
        <w:t xml:space="preserve">Local participation in validation, grievance assistance, case conferencing, records handling, referral work, and convergence activities requires personnel time, transport, connectivity, and administrative resources. If the law expands or formalizes these functions without corresponding support, the result is an underfunded mandate that will fall unevenly across provinces, cities, municipalities, and barangays.</w:t>
      </w:r>
    </w:p>
    <w:p>
      <w:pPr>
        <w:spacing w:before="0" w:after="140" w:line="264" w:lineRule="auto"/>
        <w:jc w:val="both"/>
      </w:pPr>
      <w:r>
        <w:rPr>
          <w:rFonts w:ascii="Arial" w:hAnsi="Arial" w:cs="Arial"/>
          <w:sz w:val="20"/>
          <w:szCs w:val="20"/>
        </w:rPr>
        <w:t xml:space="preserve">Congress should provide for operational support, digital access, capacity-building, and, where appropriate, reimbursement or program assistance for locally performed tasks required by the national program design.</w:t>
      </w:r>
    </w:p>
    <w:p>
      <w:pPr>
        <w:ind w:left="720" w:right="360"/>
        <w:spacing w:before="90" w:after="140" w:line="264" w:lineRule="auto"/>
        <w:jc w:val="both"/>
      </w:pPr>
      <w:r>
        <w:rPr>
          <w:rFonts w:ascii="Arial" w:hAnsi="Arial" w:cs="Arial"/>
          <w:b/>
          <w:bCs/>
          <w:sz w:val="20"/>
          <w:szCs w:val="20"/>
        </w:rPr>
        <w:t xml:space="preserve">Suggested language:</w:t>
      </w:r>
      <w:r>
        <w:rPr>
          <w:rFonts w:ascii="Arial" w:hAnsi="Arial" w:cs="Arial"/>
          <w:sz w:val="20"/>
          <w:szCs w:val="20"/>
        </w:rPr>
        <w:t xml:space="preserve"> </w:t>
      </w:r>
      <w:r>
        <w:rPr>
          <w:rFonts w:ascii="Arial" w:hAnsi="Arial" w:cs="Arial"/>
          <w:i/>
          <w:iCs/>
          <w:sz w:val="20"/>
          <w:szCs w:val="20"/>
        </w:rPr>
        <w:t xml:space="preserve">Where local government units are required or formally engaged to perform functions in support of Program implementation, the Department of Social Welfare and Development shall provide appropriate technical, digital, and operational support, subject to applicable budgeting and auditing rules, including the development of standard systems, forms, and coordination protocols.</w:t>
      </w:r>
    </w:p>
    <w:p>
      <w:pPr>
        <w:keepNext/>
        <w:spacing w:before="180" w:after="90" w:line="264" w:lineRule="auto"/>
        <w:jc w:val="both"/>
      </w:pPr>
      <w:r>
        <w:rPr>
          <w:rFonts w:ascii="Arial" w:hAnsi="Arial" w:cs="Arial"/>
          <w:b/>
          <w:bCs/>
          <w:sz w:val="20"/>
          <w:szCs w:val="20"/>
        </w:rPr>
        <w:t xml:space="preserve">7. Add an interoperable household convergence mechanism.</w:t>
      </w:r>
    </w:p>
    <w:p>
      <w:pPr>
        <w:spacing w:before="0" w:after="140" w:line="264" w:lineRule="auto"/>
        <w:jc w:val="both"/>
      </w:pPr>
      <w:r>
        <w:rPr>
          <w:rFonts w:ascii="Arial" w:hAnsi="Arial" w:cs="Arial"/>
          <w:sz w:val="20"/>
          <w:szCs w:val="20"/>
        </w:rPr>
        <w:t xml:space="preserve">Social assistance and poverty-reduction interventions remain fragmented across multiple programs, including 4Ps, AICS, AKAP, TUPAD, local livelihood efforts, adult education, and other sectoral initiatives. Fragmentation increases administrative duplication, weakens accountability for household outcomes, and creates room for politically mediated access rather than rules-based convergence.</w:t>
      </w:r>
    </w:p>
    <w:p>
      <w:pPr>
        <w:spacing w:before="0" w:after="140" w:line="264" w:lineRule="auto"/>
        <w:jc w:val="both"/>
      </w:pPr>
      <w:r>
        <w:rPr>
          <w:rFonts w:ascii="Arial" w:hAnsi="Arial" w:cs="Arial"/>
          <w:sz w:val="20"/>
          <w:szCs w:val="20"/>
        </w:rPr>
        <w:t xml:space="preserve">The amendments should direct DSWD to establish an interoperable household convergence mechanism that can be used, at minimum, to coordinate case management, transition planning, and local referral pathways. For adult beneficiaries, Congress may also consider stronger linkages with PESOs, TESDA, ALS, and local enterprise and livelihood networks so that graduation is connected to actual local opportunity systems.</w:t>
      </w:r>
    </w:p>
    <w:p>
      <w:pPr>
        <w:ind w:left="720" w:right="360"/>
        <w:spacing w:before="90" w:after="140" w:line="264" w:lineRule="auto"/>
        <w:jc w:val="both"/>
      </w:pPr>
      <w:r>
        <w:rPr>
          <w:rFonts w:ascii="Arial" w:hAnsi="Arial" w:cs="Arial"/>
          <w:b/>
          <w:bCs/>
          <w:sz w:val="20"/>
          <w:szCs w:val="20"/>
        </w:rPr>
        <w:t xml:space="preserve">Suggested language:</w:t>
      </w:r>
      <w:r>
        <w:rPr>
          <w:rFonts w:ascii="Arial" w:hAnsi="Arial" w:cs="Arial"/>
          <w:sz w:val="20"/>
          <w:szCs w:val="20"/>
        </w:rPr>
        <w:t xml:space="preserve"> </w:t>
      </w:r>
      <w:r>
        <w:rPr>
          <w:rFonts w:ascii="Arial" w:hAnsi="Arial" w:cs="Arial"/>
          <w:i/>
          <w:iCs/>
          <w:sz w:val="20"/>
          <w:szCs w:val="20"/>
        </w:rPr>
        <w:t xml:space="preserve">The Department of Social Welfare and Development shall develop an interoperable household convergence and referral mechanism for Pantawid Pamilyang Pilipino Program beneficiaries, in coordination with relevant national agencies and local government units, for the purpose of case management, transition support, employment and livelihood referral, and the harmonization of complementary social protection interventions.</w:t>
      </w:r>
    </w:p>
    <w:p>
      <w:pPr>
        <w:keepNext/>
        <w:spacing w:before="220" w:after="100" w:line="264" w:lineRule="auto"/>
        <w:jc w:val="left"/>
      </w:pPr>
      <w:r>
        <w:rPr>
          <w:rFonts w:ascii="Arial" w:hAnsi="Arial" w:cs="Arial"/>
          <w:b/>
          <w:bCs/>
          <w:sz w:val="20"/>
          <w:szCs w:val="20"/>
        </w:rPr>
        <w:t xml:space="preserve">Closing</w:t>
      </w:r>
    </w:p>
    <w:p>
      <w:pPr>
        <w:spacing w:before="0" w:after="140" w:line="264" w:lineRule="auto"/>
        <w:jc w:val="both"/>
      </w:pPr>
      <w:r>
        <w:rPr>
          <w:rFonts w:ascii="Arial" w:hAnsi="Arial" w:cs="Arial"/>
          <w:sz w:val="20"/>
          <w:szCs w:val="20"/>
        </w:rPr>
        <w:t xml:space="preserve">ULAP supports amendments that will make the 4Ps more accurate, fair, shock-responsive, and administratively workable. The strongest reforms will be those that preserve national program coherence while recognizing that implementation ultimately succeeds or fails in local settings. A sound amendment measure should protect due process, respect lawful local participation, avoid unfunded mandates, and convert national social protection goals into clear, coordinated, and supportable arrangements on the ground.</w:t>
      </w:r>
    </w:p>
    <w:sectPr>
      <w:headerReference r:id="rId6" w:type="first"/>
      <w:footerReference r:id="rId7" w:type="first"/>
      <w:headerReference r:id="rId8" w:type="default"/>
      <w:footerReference r:id="rId9" w:type="default"/>
      <w:pgSz w:h="16838" w:w="11906" w:orient="portrait"/>
      <w:pgMar w:bottom="2160" w:top="1440" w:left="1440" w:right="1440" w:header="720" w:footer="576"/>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-962024</wp:posOffset>
          </wp:positionH>
          <wp:positionV relativeFrom="paragraph">
            <wp:posOffset>205787</wp:posOffset>
          </wp:positionV>
          <wp:extent cx="7762875" cy="933877"/>
          <wp:effectExtent b="0" l="0" r="0" t="0"/>
          <wp:wrapNone/>
          <wp:docPr id="2" name="image1.png"/>
          <a:graphic>
            <a:graphicData uri="http://schemas.openxmlformats.org/drawingml/2006/picture">
              <pic:pic>
                <pic:nvPicPr>
                  <pic:cNvPr id="0" name="image1.png"/>
                  <pic:cNvPicPr preferRelativeResize="0"/>
                </pic:nvPicPr>
                <pic:blipFill>
                  <a:blip r:embed="rId1"/>
                  <a:srcRect b="0" l="0" r="0" t="63954"/>
                  <a:stretch>
                    <a:fillRect/>
                  </a:stretch>
                </pic:blipFill>
                <pic:spPr>
                  <a:xfrm>
                    <a:off x="0" y="0"/>
                    <a:ext cx="7762875" cy="933877"/>
                  </a:xfrm>
                  <a:prstGeom prst="rect"/>
                  <a:ln/>
                </pic:spPr>
              </pic:pic>
            </a:graphicData>
          </a:graphic>
        </wp:anchor>
      </w:drawing>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ftr>
</file>

<file path=word/footer2.xml><?xml version="1.0" encoding="utf-8"?>
<w:ftr xmlns:w="http://schemas.openxmlformats.org/wordprocessingml/2006/main">
  <w:p>
    <w:pPr>
      <w:pStyle w:val="Footer"/>
      <w:jc w:val="center"/>
    </w:pPr>
    <w:r/>
    <w:r>
      <w:rPr>
        <w:color w:val="8A93A3"/>
        <w:sz w:val="16"/>
      </w:rPr>
      <w:t>ULAP Internal Document — Not for circulation without NEB Board approval</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2">
    <w:pPr>
      <w:tabs>
        <w:tab w:val="center" w:leader="none" w:pos="4680"/>
        <w:tab w:val="right" w:leader="none" w:pos="9360"/>
        <w:tab w:val="right" w:leader="none" w:pos="10184"/>
      </w:tabs>
      <w:spacing w:line="240" w:lineRule="auto"/>
      <w:jc w:val="center"/>
      <w:rPr>
        <w:sz w:val="7"/>
        <w:szCs w:val="7"/>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-1105632</wp:posOffset>
              </wp:positionH>
              <wp:positionV relativeFrom="paragraph">
                <wp:posOffset>-457199</wp:posOffset>
              </wp:positionV>
              <wp:extent cx="8249383" cy="1671638"/>
              <wp:effectExtent b="0" l="0" r="0" t="0"/>
              <wp:wrapSquare wrapText="bothSides" distB="0" distT="0" distL="114300" distR="114300"/>
              <wp:docPr id="1" name=""/>
              <a:graphic>
                <a:graphicData uri="http://schemas.microsoft.com/office/word/2010/wordprocessingGroup">
                  <wpg:wgp>
                    <wpg:cNvGrpSpPr/>
                    <wpg:grpSpPr>
                      <a:xfrm>
                        <a:off x="1414075" y="2974800"/>
                        <a:ext cx="8249383" cy="1671638"/>
                        <a:chOff x="1414075" y="2974800"/>
                        <a:chExt cx="7863850" cy="1610400"/>
                      </a:xfrm>
                    </wpg:grpSpPr>
                    <wpg:grpSp>
                      <wpg:cNvGrpSpPr/>
                      <wpg:grpSpPr>
                        <a:xfrm>
                          <a:off x="1414080" y="2974820"/>
                          <a:ext cx="7863840" cy="1610360"/>
                          <a:chOff x="1414075" y="2974800"/>
                          <a:chExt cx="7863850" cy="1610400"/>
                        </a:xfrm>
                      </wpg:grpSpPr>
                      <wps:wsp>
                        <wps:cNvSpPr/>
                        <wps:cNvPr id="3" name="Shape 3"/>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5" name="Shape 5"/>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7" name="Shape 7"/>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9" name="Shape 9"/>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0" y="0"/>
                                  <a:chExt cx="7863840" cy="1610360"/>
                                </a:xfrm>
                              </wpg:grpSpPr>
                              <wps:wsp>
                                <wps:cNvSpPr/>
                                <wps:cNvPr id="11" name="Shape 11"/>
                                <wps:spPr>
                                  <a:xfrm>
                                    <a:off x="0" y="0"/>
                                    <a:ext cx="7863825" cy="1610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A picture containing icon  Description automatically generated" id="12" name="Shape 12"/>
                                  <pic:cNvPicPr preferRelativeResize="0"/>
                                </pic:nvPicPr>
                                <pic:blipFill rotWithShape="1">
                                  <a:blip r:embed="rId1">
                                    <a:alphaModFix amt="50000"/>
                                  </a:blip>
                                  <a:srcRect b="0" l="0" r="0" t="0"/>
                                  <a:stretch/>
                                </pic:blipFill>
                                <pic:spPr>
                                  <a:xfrm flipH="1">
                                    <a:off x="95250" y="228600"/>
                                    <a:ext cx="7767955" cy="1247775"/>
                                  </a:xfrm>
                                  <a:prstGeom prst="rect">
                                    <a:avLst/>
                                  </a:prstGeom>
                                  <a:noFill/>
                                  <a:ln>
                                    <a:noFill/>
                                  </a:ln>
                                </pic:spPr>
                              </pic:pic>
                              <pic:pic>
                                <pic:nvPicPr>
                                  <pic:cNvPr descr="A picture containing icon  Description automatically generated" id="13" name="Shape 13"/>
                                  <pic:cNvPicPr preferRelativeResize="0"/>
                                </pic:nvPicPr>
                                <pic:blipFill rotWithShape="1">
                                  <a:blip r:embed="rId1">
                                    <a:alphaModFix amt="50000"/>
                                  </a:blip>
                                  <a:srcRect b="0" l="0" r="39356" t="0"/>
                                  <a:stretch/>
                                </pic:blipFill>
                                <pic:spPr>
                                  <a:xfrm>
                                    <a:off x="95250" y="222250"/>
                                    <a:ext cx="4705350" cy="1247775"/>
                                  </a:xfrm>
                                  <a:prstGeom prst="rect">
                                    <a:avLst/>
                                  </a:prstGeom>
                                  <a:noFill/>
                                  <a:ln>
                                    <a:noFill/>
                                  </a:ln>
                                </pic:spPr>
                              </pic:pic>
                              <pic:pic>
                                <pic:nvPicPr>
                                  <pic:cNvPr id="14" name="Shape 14"/>
                                  <pic:cNvPicPr preferRelativeResize="0"/>
                                </pic:nvPicPr>
                                <pic:blipFill rotWithShape="1">
                                  <a:blip r:embed="rId2">
                                    <a:alphaModFix/>
                                  </a:blip>
                                  <a:srcRect b="29036" l="0" r="0" t="2914"/>
                                  <a:stretch/>
                                </pic:blipFill>
                                <pic:spPr>
                                  <a:xfrm>
                                    <a:off x="990600" y="590550"/>
                                    <a:ext cx="5943600" cy="1019810"/>
                                  </a:xfrm>
                                  <a:prstGeom prst="rect">
                                    <a:avLst/>
                                  </a:prstGeom>
                                  <a:noFill/>
                                  <a:ln>
                                    <a:noFill/>
                                  </a:ln>
                                </pic:spPr>
                              </pic:pic>
                              <pic:pic>
                                <pic:nvPicPr>
                                  <pic:cNvPr descr="Background pattern  Description automatically generated" id="15" name="Shape 15"/>
                                  <pic:cNvPicPr preferRelativeResize="0"/>
                                </pic:nvPicPr>
                                <pic:blipFill rotWithShape="1">
                                  <a:blip r:embed="rId3">
                                    <a:alphaModFix/>
                                  </a:blip>
                                  <a:srcRect b="0" l="0" r="0" t="0"/>
                                  <a:stretch/>
                                </pic:blipFill>
                                <pic:spPr>
                                  <a:xfrm>
                                    <a:off x="0" y="0"/>
                                    <a:ext cx="7863840" cy="396875"/>
                                  </a:xfrm>
                                  <a:prstGeom prst="rect">
                                    <a:avLst/>
                                  </a:prstGeom>
                                  <a:noFill/>
                                  <a:ln>
                                    <a:noFill/>
                                  </a:ln>
                                </pic:spPr>
                              </pic:pic>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-1105632</wp:posOffset>
              </wp:positionH>
              <wp:positionV relativeFrom="paragraph">
                <wp:posOffset>-457199</wp:posOffset>
              </wp:positionV>
              <wp:extent cx="8249383" cy="1671638"/>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4"/>
                      <a:srcRect/>
                      <a:stretch>
                        <a:fillRect/>
                      </a:stretch>
                    </pic:blipFill>
                    <pic:spPr>
                      <a:xfrm>
                        <a:off x="0" y="0"/>
                        <a:ext cx="8249383" cy="1671638"/>
                      </a:xfrm>
                      <a:prstGeom prst="rect"/>
                      <a:ln/>
                    </pic:spPr>
                  </pic:pic>
                </a:graphicData>
              </a:graphic>
            </wp:anchor>
          </w:drawing>
        </mc:Fallback>
      </mc:AlternateContent>
    </w:r>
  </w:p>
  <w:p w:rsidR="00000000" w:rsidDel="00000000" w:rsidP="00000000" w:rsidRDefault="00000000" w:rsidRPr="00000000" w14:paraId="00000003">
    <w:pPr>
      <w:tabs>
        <w:tab w:val="center" w:leader="none" w:pos="4680"/>
        <w:tab w:val="right" w:leader="none" w:pos="9360"/>
        <w:tab w:val="right" w:leader="none" w:pos="10184"/>
      </w:tabs>
      <w:spacing w:line="240" w:lineRule="auto"/>
      <w:jc w:val="center"/>
      <w:rPr>
        <w:sz w:val="16"/>
        <w:szCs w:val="16"/>
      </w:rPr>
    </w:pPr>
    <w:r w:rsidDel="00000000" w:rsidR="00000000" w:rsidRPr="00000000">
      <w:rPr>
        <w:sz w:val="16"/>
        <w:szCs w:val="16"/>
        <w:rtl w:val="0"/>
      </w:rPr>
      <w:t xml:space="preserve">28F Unit 2803 Summit One Tower 530 Shaw Boulevard, Mandaluyong City</w:t>
    </w:r>
  </w:p>
  <w:p w:rsidR="00000000" w:rsidDel="00000000" w:rsidP="00000000" w:rsidRDefault="00000000" w:rsidRPr="00000000" w14:paraId="00000004">
    <w:pPr>
      <w:tabs>
        <w:tab w:val="center" w:leader="none" w:pos="4680"/>
        <w:tab w:val="right" w:leader="none" w:pos="9360"/>
      </w:tabs>
      <w:spacing w:line="240" w:lineRule="auto"/>
      <w:jc w:val="center"/>
      <w:rPr>
        <w:sz w:val="16"/>
        <w:szCs w:val="16"/>
      </w:rPr>
    </w:pPr>
    <w:r w:rsidDel="00000000" w:rsidR="00000000" w:rsidRPr="00000000">
      <w:rPr>
        <w:b w:val="1"/>
        <w:bCs w:val="1"/>
        <w:sz w:val="16"/>
        <w:szCs w:val="16"/>
        <w:rtl w:val="0"/>
      </w:rPr>
      <w:t xml:space="preserve">Phone: </w:t>
    </w:r>
    <w:r w:rsidDel="00000000" w:rsidR="00000000" w:rsidRPr="00000000">
      <w:rPr>
        <w:sz w:val="16"/>
        <w:szCs w:val="16"/>
        <w:rtl w:val="0"/>
      </w:rPr>
      <w:t xml:space="preserve">(+63) 9189856659 </w:t>
    </w:r>
    <w:r w:rsidDel="00000000" w:rsidR="00000000" w:rsidRPr="00000000">
      <w:rPr>
        <w:b w:val="1"/>
        <w:bCs w:val="1"/>
        <w:sz w:val="16"/>
        <w:szCs w:val="16"/>
        <w:rtl w:val="0"/>
      </w:rPr>
      <w:t xml:space="preserve">E-Mail:</w:t>
    </w:r>
    <w:r w:rsidDel="00000000" w:rsidR="00000000" w:rsidRPr="00000000">
      <w:rPr>
        <w:sz w:val="16"/>
        <w:szCs w:val="16"/>
        <w:rtl w:val="0"/>
      </w:rPr>
      <w:t xml:space="preserve"> </w:t>
    </w:r>
    <w:hyperlink r:id="rId5">
      <w:r w:rsidDel="00000000" w:rsidR="00000000" w:rsidRPr="00000000">
        <w:rPr>
          <w:color w:val="0563c1"/>
          <w:sz w:val="16"/>
          <w:szCs w:val="16"/>
          <w:u w:val="single"/>
          <w:rtl w:val="0"/>
        </w:rPr>
        <w:t xml:space="preserve">ulapnatsec@gmail.com</w:t>
      </w:r>
    </w:hyperlink>
    <w:r w:rsidDel="00000000" w:rsidR="00000000" w:rsidRPr="00000000">
      <w:rPr>
        <w:sz w:val="16"/>
        <w:szCs w:val="16"/>
        <w:rtl w:val="0"/>
      </w:rPr>
      <w:t xml:space="preserve">, </w:t>
    </w:r>
    <w:hyperlink r:id="rId6">
      <w:r w:rsidDel="00000000" w:rsidR="00000000" w:rsidRPr="00000000">
        <w:rPr>
          <w:color w:val="0563c1"/>
          <w:sz w:val="16"/>
          <w:szCs w:val="16"/>
          <w:u w:val="single"/>
          <w:rtl w:val="0"/>
        </w:rPr>
        <w:t xml:space="preserve">secretariat@ulap.net.ph</w:t>
      </w:r>
    </w:hyperlink>
    <w:r w:rsidDel="00000000" w:rsidR="00000000" w:rsidRPr="00000000">
      <w:rPr>
        <w:rtl w:val="0"/>
      </w:rPr>
    </w:r>
  </w:p>
  <w:p w:rsidR="00000000" w:rsidDel="00000000" w:rsidP="00000000" w:rsidRDefault="00000000" w:rsidRPr="00000000" w14:paraId="00000005">
    <w:pPr>
      <w:tabs>
        <w:tab w:val="center" w:leader="none" w:pos="4680"/>
        <w:tab w:val="right" w:leader="none" w:pos="9360"/>
      </w:tabs>
      <w:spacing w:line="240" w:lineRule="auto"/>
      <w:jc w:val="center"/>
      <w:rPr>
        <w:sz w:val="16"/>
        <w:szCs w:val="16"/>
      </w:rPr>
    </w:pPr>
    <w:r w:rsidDel="00000000" w:rsidR="00000000" w:rsidRPr="00000000">
      <w:rPr>
        <w:b w:val="1"/>
        <w:bCs w:val="1"/>
        <w:sz w:val="16"/>
        <w:szCs w:val="16"/>
        <w:rtl w:val="0"/>
      </w:rPr>
      <w:t xml:space="preserve">Website:</w:t>
    </w:r>
    <w:r w:rsidDel="00000000" w:rsidR="00000000" w:rsidRPr="00000000">
      <w:rPr>
        <w:sz w:val="16"/>
        <w:szCs w:val="16"/>
        <w:rtl w:val="0"/>
      </w:rPr>
      <w:t xml:space="preserve"> </w:t>
    </w:r>
    <w:hyperlink r:id="rId7">
      <w:r w:rsidDel="00000000" w:rsidR="00000000" w:rsidRPr="00000000">
        <w:rPr>
          <w:color w:val="0563c1"/>
          <w:sz w:val="16"/>
          <w:szCs w:val="16"/>
          <w:u w:val="single"/>
          <w:rtl w:val="0"/>
        </w:rPr>
        <w:t xml:space="preserve">www.ulap.net.ph</w:t>
      </w:r>
    </w:hyperlink>
    <w:r w:rsidDel="00000000" w:rsidR="00000000" w:rsidRPr="00000000">
      <w:rPr>
        <w:sz w:val="16"/>
        <w:szCs w:val="16"/>
        <w:rtl w:val="0"/>
      </w:rPr>
      <w:t xml:space="preserve"> </w:t>
    </w:r>
    <w:r w:rsidDel="00000000" w:rsidR="00000000" w:rsidRPr="00000000">
      <w:rPr>
        <w:b w:val="1"/>
        <w:bCs w:val="1"/>
        <w:sz w:val="16"/>
        <w:szCs w:val="16"/>
        <w:rtl w:val="0"/>
      </w:rPr>
      <w:t xml:space="preserve">Facebook:</w:t>
    </w:r>
    <w:r w:rsidDel="00000000" w:rsidR="00000000" w:rsidRPr="00000000">
      <w:rPr>
        <w:sz w:val="16"/>
        <w:szCs w:val="16"/>
        <w:rtl w:val="0"/>
      </w:rPr>
      <w:t xml:space="preserve"> </w:t>
    </w:r>
    <w:hyperlink r:id="rId8">
      <w:r w:rsidDel="00000000" w:rsidR="00000000" w:rsidRPr="00000000">
        <w:rPr>
          <w:color w:val="0563c1"/>
          <w:sz w:val="16"/>
          <w:szCs w:val="16"/>
          <w:u w:val="single"/>
          <w:rtl w:val="0"/>
        </w:rPr>
        <w:t xml:space="preserve">www.facebook.com/ulap.net.ph</w:t>
      </w:r>
    </w:hyperlink>
    <w:r w:rsidDel="00000000" w:rsidR="00000000" w:rsidRPr="00000000">
      <w:rPr>
        <w:sz w:val="16"/>
        <w:szCs w:val="16"/>
        <w:rtl w:val="0"/>
      </w:rPr>
      <w:t xml:space="preserve"> </w:t>
    </w:r>
  </w:p>
  <w:p w:rsidR="00000000" w:rsidDel="00000000" w:rsidP="00000000" w:rsidRDefault="00000000" w:rsidRPr="00000000" w14:paraId="00000006">
    <w:pPr>
      <w:pBdr>
        <w:bottom w:color="000000" w:space="1" w:sz="6" w:val="single"/>
      </w:pBdr>
      <w:tabs>
        <w:tab w:val="center" w:leader="none" w:pos="4680"/>
        <w:tab w:val="right" w:leader="none" w:pos="9360"/>
      </w:tabs>
      <w:spacing w:line="240" w:lineRule="auto"/>
      <w:ind w:left="-1134" w:right="-1097" w:firstLine="0"/>
      <w:rPr>
        <w:b w:val="1"/>
        <w:bCs w:val="1"/>
        <w:color w:val="002060"/>
        <w:sz w:val="15"/>
        <w:szCs w:val="15"/>
      </w:rPr>
    </w:pPr>
    <w:r w:rsidDel="00000000" w:rsidR="00000000" w:rsidRPr="00000000">
      <w:rPr>
        <w:rtl w:val="0"/>
      </w:rPr>
    </w:r>
  </w:p>
  <w:p w:rsidR="00000000" w:rsidDel="00000000" w:rsidP="00000000" w:rsidRDefault="00000000" w:rsidRPr="00000000" w14:paraId="0000000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hdr>
</file>

<file path=word/header2.xml><?xml version="1.0" encoding="utf-8"?>
<w:hdr xmlns:w="http://schemas.openxmlformats.org/wordprocessingml/2006/main">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5.jpg"/><Relationship Id="rId4" Type="http://schemas.openxmlformats.org/officeDocument/2006/relationships/image" Target="media/image2.png"/><Relationship Id="rId5" Type="http://schemas.openxmlformats.org/officeDocument/2006/relationships/hyperlink" Target="about:blank" TargetMode="External"/><Relationship Id="rId6" Type="http://schemas.openxmlformats.org/officeDocument/2006/relationships/hyperlink" Target="about:blank" TargetMode="External"/><Relationship Id="rId7" Type="http://schemas.openxmlformats.org/officeDocument/2006/relationships/hyperlink" Target="about:blank" TargetMode="External"/><Relationship Id="rId8"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