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PROPOSED PERFORMANCE INDICATORS</w:t>
      </w:r>
    </w:p>
    <w:p>
      <w:pPr>
        <w:spacing w:before="40" w:after="200" w:line="264" w:lineRule="auto"/>
        <w:jc w:val="center"/>
      </w:pPr>
      <w:r>
        <w:rPr>
          <w:rFonts w:ascii="Arial" w:hAnsi="Arial" w:cs="Arial"/>
          <w:b/>
          <w:bCs/>
          <w:sz w:val="24"/>
          <w:szCs w:val="24"/>
        </w:rPr>
        <w:t xml:space="preserve">FOR SUSTAINABLE EDUCATION UNDER THE SEAL OF GOOD LOCAL GOVERNANCE</w:t>
      </w:r>
    </w:p>
    <w:p>
      <w:pPr>
        <w:spacing w:before="0" w:after="140" w:line="264" w:lineRule="auto"/>
        <w:jc w:val="both"/>
      </w:pPr>
      <w:r>
        <w:rPr>
          <w:rFonts w:ascii="Arial" w:hAnsi="Arial" w:cs="Arial"/>
          <w:sz w:val="20"/>
          <w:szCs w:val="20"/>
        </w:rPr>
        <w:t xml:space="preserve">The Union of Local Authorities of the Philippines (ULAP) supports the effort to strengthen the sustainable education indicators under the Seal of Good Local Governance (SGLG). Education outcomes are a shared responsibility of national agencies, schools, communities, and local governments. For the framework to be fair and implementable, the indicators must measure genuine local action while recognizing differences in LGU capacity and fiscal space, and while acknowledging that several education outcomes are shaped by factors beyond local control.</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1. Distinguish LGU-attributable governance indicators from system-level outcome indicators.</w:t>
      </w:r>
    </w:p>
    <w:p>
      <w:pPr>
        <w:spacing w:before="0" w:after="140" w:line="264" w:lineRule="auto"/>
        <w:jc w:val="both"/>
      </w:pPr>
      <w:r>
        <w:rPr>
          <w:rFonts w:ascii="Arial" w:hAnsi="Arial" w:cs="Arial"/>
          <w:sz w:val="20"/>
          <w:szCs w:val="20"/>
        </w:rPr>
        <w:t xml:space="preserve">Indicators such as completion, net enrolment, dropout, learning proficiency, and nutrition status carry real weight. They should not operate as stand-alone pass-or-fail measures for LGUs without accounting for local starting conditions, school-level factors, and gaps in national support. A completion figure records the joint result of many hands, and it should be read as one signal among several rather than as a verdict on local governance alone.</w:t>
      </w:r>
    </w:p>
    <w:p>
      <w:pPr>
        <w:keepNext/>
        <w:spacing w:before="180" w:after="90" w:line="264" w:lineRule="auto"/>
        <w:jc w:val="both"/>
      </w:pPr>
      <w:r>
        <w:rPr>
          <w:rFonts w:ascii="Arial" w:hAnsi="Arial" w:cs="Arial"/>
          <w:b/>
          <w:bCs/>
          <w:sz w:val="20"/>
          <w:szCs w:val="20"/>
        </w:rPr>
        <w:t xml:space="preserve">2. Use 2026 and 2027 primarily as profiling and calibration years for new or data-intensive indicators.</w:t>
      </w:r>
    </w:p>
    <w:p>
      <w:pPr>
        <w:spacing w:before="0" w:after="140" w:line="264" w:lineRule="auto"/>
        <w:jc w:val="both"/>
      </w:pPr>
      <w:r>
        <w:rPr>
          <w:rFonts w:ascii="Arial" w:hAnsi="Arial" w:cs="Arial"/>
          <w:sz w:val="20"/>
          <w:szCs w:val="20"/>
        </w:rPr>
        <w:t xml:space="preserve">Full assessment should follow only after data definitions, baselines, and reporting protocols have been validated across provinces, cities, and municipalities. Scoring an indicator before its baseline is settled penalizes reporting weakness rather than actual performance.</w:t>
      </w:r>
    </w:p>
    <w:p>
      <w:pPr>
        <w:keepNext/>
        <w:spacing w:before="180" w:after="90" w:line="264" w:lineRule="auto"/>
        <w:jc w:val="both"/>
      </w:pPr>
      <w:r>
        <w:rPr>
          <w:rFonts w:ascii="Arial" w:hAnsi="Arial" w:cs="Arial"/>
          <w:b/>
          <w:bCs/>
          <w:sz w:val="20"/>
          <w:szCs w:val="20"/>
        </w:rPr>
        <w:t xml:space="preserve">3. Retain the Local School Board as a core governance indicator, but focus on functionality rather than documentary volume.</w:t>
      </w:r>
    </w:p>
    <w:p>
      <w:pPr>
        <w:spacing w:before="0" w:after="140" w:line="264" w:lineRule="auto"/>
        <w:jc w:val="both"/>
      </w:pPr>
      <w:r>
        <w:rPr>
          <w:rFonts w:ascii="Arial" w:hAnsi="Arial" w:cs="Arial"/>
          <w:sz w:val="20"/>
          <w:szCs w:val="20"/>
        </w:rPr>
        <w:t xml:space="preserve">The framework should credit an operational education plan, actual coordination, and implemented programs. Formal creation and repetitive paperwork are a weak proxy for a School Board that convenes, decides, and delivers. ULAP recommends that the indicator reward demonstrated function over the mere existence of documents on file.</w:t>
      </w:r>
    </w:p>
    <w:p>
      <w:pPr>
        <w:keepNext/>
        <w:spacing w:before="180" w:after="90" w:line="264" w:lineRule="auto"/>
        <w:jc w:val="both"/>
      </w:pPr>
      <w:r>
        <w:rPr>
          <w:rFonts w:ascii="Arial" w:hAnsi="Arial" w:cs="Arial"/>
          <w:b/>
          <w:bCs/>
          <w:sz w:val="20"/>
          <w:szCs w:val="20"/>
        </w:rPr>
        <w:t xml:space="preserve">4. Keep the SEF and General Fund education spending indicators, but assess them with context.</w:t>
      </w:r>
    </w:p>
    <w:p>
      <w:pPr>
        <w:spacing w:before="0" w:after="140" w:line="264" w:lineRule="auto"/>
        <w:jc w:val="both"/>
      </w:pPr>
      <w:r>
        <w:rPr>
          <w:rFonts w:ascii="Arial" w:hAnsi="Arial" w:cs="Arial"/>
          <w:sz w:val="20"/>
          <w:szCs w:val="20"/>
        </w:rPr>
        <w:t xml:space="preserve">Disbursement rates are useful signals of effort. They should not automatically penalize LGUs where delays trace to procurement, disaster-response reallocations, or other lawful constraints outside routine control. ULAP proposes that the scoring guidance recognize documented, lawful causes of underspending instead of treating every shortfall as governance failure.</w:t>
      </w:r>
    </w:p>
    <w:p>
      <w:pPr>
        <w:keepNext/>
        <w:spacing w:before="180" w:after="90" w:line="264" w:lineRule="auto"/>
        <w:jc w:val="both"/>
      </w:pPr>
      <w:r>
        <w:rPr>
          <w:rFonts w:ascii="Arial" w:hAnsi="Arial" w:cs="Arial"/>
          <w:b/>
          <w:bCs/>
          <w:sz w:val="20"/>
          <w:szCs w:val="20"/>
        </w:rPr>
        <w:t xml:space="preserve">5. Sustain support indicators that are clearly within local influence.</w:t>
      </w:r>
    </w:p>
    <w:p>
      <w:pPr>
        <w:spacing w:before="0" w:after="140" w:line="264" w:lineRule="auto"/>
        <w:jc w:val="both"/>
      </w:pPr>
      <w:r>
        <w:rPr>
          <w:rFonts w:ascii="Arial" w:hAnsi="Arial" w:cs="Arial"/>
          <w:sz w:val="20"/>
          <w:szCs w:val="20"/>
        </w:rPr>
        <w:t xml:space="preserve">These include inclusive education programs, reintegration support for out-of-school youth, learner health and nutrition interventions, TESD support, ECCD investments, and functioning public libraries. Where an LGU controls the lever, the indicator can fairly hold it accountable for the result.</w:t>
      </w:r>
    </w:p>
    <w:p>
      <w:pPr>
        <w:keepNext/>
        <w:spacing w:before="180" w:after="90" w:line="264" w:lineRule="auto"/>
        <w:jc w:val="both"/>
      </w:pPr>
      <w:r>
        <w:rPr>
          <w:rFonts w:ascii="Arial" w:hAnsi="Arial" w:cs="Arial"/>
          <w:b/>
          <w:bCs/>
          <w:sz w:val="20"/>
          <w:szCs w:val="20"/>
        </w:rPr>
        <w:t xml:space="preserve">6. Standardize national data definitions and reporting templates before imposing new compliance burdens.</w:t>
      </w:r>
    </w:p>
    <w:p>
      <w:pPr>
        <w:spacing w:before="0" w:after="140" w:line="264" w:lineRule="auto"/>
        <w:jc w:val="both"/>
      </w:pPr>
      <w:r>
        <w:rPr>
          <w:rFonts w:ascii="Arial" w:hAnsi="Arial" w:cs="Arial"/>
          <w:sz w:val="20"/>
          <w:szCs w:val="20"/>
        </w:rPr>
        <w:t xml:space="preserve">National agencies should provide shared datasets and technical assistance so that LGUs are not required to build duplicate reporting systems or undertake unnecessary primary data collection. The measure works best when the national data spine is in place before the local reporting duty attaches.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refinement of the proposed Sustainable Education indicator framework, provided it remains development-oriented, capacity-sensitive, and supportive of local autonomy. A calibrated approach will help ensure that the SGLG framework rewards meaningful local action and produces more credible education governance results.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