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PROPOSED SEAL OF MERITOCRACY</w:t>
      </w:r>
    </w:p>
    <w:p>
      <w:pPr>
        <w:spacing w:before="40" w:after="200" w:line="264" w:lineRule="auto"/>
        <w:jc w:val="center"/>
      </w:pPr>
      <w:r>
        <w:rPr>
          <w:rFonts w:ascii="Arial" w:hAnsi="Arial" w:cs="Arial"/>
          <w:b/>
          <w:bCs/>
          <w:sz w:val="24"/>
          <w:szCs w:val="24"/>
        </w:rPr>
        <w:t xml:space="preserve">AND GOOD LOCAL GOVERNANCE BILL (SUBSTITUTE TO HBs 1110, 2373, 2852, 5790, AND 6067)</w:t>
      </w:r>
    </w:p>
    <w:p>
      <w:pPr>
        <w:spacing w:before="0" w:after="140" w:line="264" w:lineRule="auto"/>
        <w:jc w:val="both"/>
      </w:pPr>
      <w:r>
        <w:rPr>
          <w:rFonts w:ascii="Arial" w:hAnsi="Arial" w:cs="Arial"/>
          <w:sz w:val="20"/>
          <w:szCs w:val="20"/>
        </w:rPr>
        <w:t xml:space="preserve">The Union of Local Authorities of the Philippines (ULAP) supports efforts to improve performance measurement in government and recognizes the value of linking governance reforms to human development outcomes. The proposed substitute bill should nonetheless be refined so that it remains workable for local governments, preserves constitutional local autonomy, and does not impose data and compliance burdens that exceed the actual capacity of many LGUs.</w:t>
      </w:r>
    </w:p>
    <w:p>
      <w:pPr>
        <w:keepNext/>
        <w:spacing w:before="220" w:after="100" w:line="264" w:lineRule="auto"/>
        <w:jc w:val="left"/>
      </w:pPr>
      <w:r>
        <w:rPr>
          <w:rFonts w:ascii="Arial" w:hAnsi="Arial" w:cs="Arial"/>
          <w:b/>
          <w:bCs/>
          <w:sz w:val="20"/>
          <w:szCs w:val="20"/>
        </w:rPr>
        <w:t xml:space="preserve">ULAP's Comments and Recommendations</w:t>
      </w:r>
    </w:p>
    <w:p>
      <w:pPr>
        <w:keepNext/>
        <w:spacing w:before="180" w:after="90" w:line="264" w:lineRule="auto"/>
        <w:jc w:val="both"/>
      </w:pPr>
      <w:r>
        <w:rPr>
          <w:rFonts w:ascii="Arial" w:hAnsi="Arial" w:cs="Arial"/>
          <w:b/>
          <w:bCs/>
          <w:sz w:val="20"/>
          <w:szCs w:val="20"/>
        </w:rPr>
        <w:t xml:space="preserve">1. Preserve a clear LGU-centered framework and avoid unintended recentralization.</w:t>
      </w:r>
    </w:p>
    <w:p>
      <w:pPr>
        <w:spacing w:before="0" w:after="140" w:line="264" w:lineRule="auto"/>
        <w:jc w:val="both"/>
      </w:pPr>
      <w:r>
        <w:rPr>
          <w:rFonts w:ascii="Arial" w:hAnsi="Arial" w:cs="Arial"/>
          <w:sz w:val="20"/>
          <w:szCs w:val="20"/>
        </w:rPr>
        <w:t xml:space="preserve">The proposed expansion of the law should not narrow the constitutional space of LGUs by turning a recognition system into a mechanism for excessive supervision or externally driven control of local policy. A recognition regime operates by incentive; it should not become a channel for control that the Constitution reserves against.</w:t>
      </w:r>
    </w:p>
    <w:p>
      <w:pPr>
        <w:keepNext/>
        <w:spacing w:before="180" w:after="90" w:line="264" w:lineRule="auto"/>
        <w:jc w:val="both"/>
      </w:pPr>
      <w:r>
        <w:rPr>
          <w:rFonts w:ascii="Arial" w:hAnsi="Arial" w:cs="Arial"/>
          <w:b/>
          <w:bCs/>
          <w:sz w:val="20"/>
          <w:szCs w:val="20"/>
        </w:rPr>
        <w:t xml:space="preserve">2. Retain ULAP and league participation in the governance structure of the measure.</w:t>
      </w:r>
    </w:p>
    <w:p>
      <w:pPr>
        <w:spacing w:before="0" w:after="140" w:line="264" w:lineRule="auto"/>
        <w:jc w:val="both"/>
      </w:pPr>
      <w:r>
        <w:rPr>
          <w:rFonts w:ascii="Arial" w:hAnsi="Arial" w:cs="Arial"/>
          <w:sz w:val="20"/>
          <w:szCs w:val="20"/>
        </w:rPr>
        <w:t xml:space="preserve">ULAP's inclusion in the Council is a constructive provision and should be preserved in the final bill, together with meaningful participation of the LGU leagues and local officials in the technical working groups and in the IRR process. ULAP recommends that this participation be written into the statute rather than left to administrative discretion.</w:t>
      </w:r>
    </w:p>
    <w:p>
      <w:pPr>
        <w:keepNext/>
        <w:spacing w:before="180" w:after="90" w:line="264" w:lineRule="auto"/>
        <w:jc w:val="both"/>
      </w:pPr>
      <w:r>
        <w:rPr>
          <w:rFonts w:ascii="Arial" w:hAnsi="Arial" w:cs="Arial"/>
          <w:b/>
          <w:bCs/>
          <w:sz w:val="20"/>
          <w:szCs w:val="20"/>
        </w:rPr>
        <w:t xml:space="preserve">3. Recalibrate the data-collection architecture.</w:t>
      </w:r>
    </w:p>
    <w:p>
      <w:pPr>
        <w:spacing w:before="0" w:after="140" w:line="264" w:lineRule="auto"/>
        <w:jc w:val="both"/>
      </w:pPr>
      <w:r>
        <w:rPr>
          <w:rFonts w:ascii="Arial" w:hAnsi="Arial" w:cs="Arial"/>
          <w:sz w:val="20"/>
          <w:szCs w:val="20"/>
        </w:rPr>
        <w:t xml:space="preserve">Provisions requiring quarterly synchronized data collection, expanded PSA custodianship, and the possible hiring of additional statistical personnel may be too burdensome for many provinces, cities, and especially municipalities. The bill should prioritize existing administrative data and adopt a phased compliance approach backed by national technical support. Lower-income LGUs cannot absorb a new statistical workload where the law creates the reporting duty but not the means to meet it.</w:t>
      </w:r>
    </w:p>
    <w:p>
      <w:pPr>
        <w:keepNext/>
        <w:spacing w:before="180" w:after="90" w:line="264" w:lineRule="auto"/>
        <w:jc w:val="both"/>
      </w:pPr>
      <w:r>
        <w:rPr>
          <w:rFonts w:ascii="Arial" w:hAnsi="Arial" w:cs="Arial"/>
          <w:b/>
          <w:bCs/>
          <w:sz w:val="20"/>
          <w:szCs w:val="20"/>
        </w:rPr>
        <w:t xml:space="preserve">4. Use human development indicators as contextual improvement measures, not rigid stand-alone pass-or-fail triggers.</w:t>
      </w:r>
    </w:p>
    <w:p>
      <w:pPr>
        <w:spacing w:before="0" w:after="140" w:line="264" w:lineRule="auto"/>
        <w:jc w:val="both"/>
      </w:pPr>
      <w:r>
        <w:rPr>
          <w:rFonts w:ascii="Arial" w:hAnsi="Arial" w:cs="Arial"/>
          <w:sz w:val="20"/>
          <w:szCs w:val="20"/>
        </w:rPr>
        <w:t xml:space="preserve">LGUs should be assessed against their own historical performance and their actual functions, with due recognition that education, health, poverty, inflation, and safety outcomes are influenced by broader structural and national factors. ULAP proposes that improvement over an LGU's own baseline carry more weight than a fixed national threshold applied uniformly across unequal starting conditions.</w:t>
      </w:r>
    </w:p>
    <w:p>
      <w:pPr>
        <w:keepNext/>
        <w:spacing w:before="180" w:after="90" w:line="264" w:lineRule="auto"/>
        <w:jc w:val="both"/>
      </w:pPr>
      <w:r>
        <w:rPr>
          <w:rFonts w:ascii="Arial" w:hAnsi="Arial" w:cs="Arial"/>
          <w:b/>
          <w:bCs/>
          <w:sz w:val="20"/>
          <w:szCs w:val="20"/>
        </w:rPr>
        <w:t xml:space="preserve">5. Clarify incentives, disincentives, and intervention mechanisms.</w:t>
      </w:r>
    </w:p>
    <w:p>
      <w:pPr>
        <w:spacing w:before="0" w:after="140" w:line="264" w:lineRule="auto"/>
        <w:jc w:val="both"/>
      </w:pPr>
      <w:r>
        <w:rPr>
          <w:rFonts w:ascii="Arial" w:hAnsi="Arial" w:cs="Arial"/>
          <w:sz w:val="20"/>
          <w:szCs w:val="20"/>
        </w:rPr>
        <w:t xml:space="preserve">The bill should define what constitutes persistent and unjustifiable decline, provide due process, and ensure that technical assistance and remedial support come before any punitive consequence. A support-first sequence keeps the measure developmental rather than merely disciplinary.</w:t>
      </w:r>
    </w:p>
    <w:p>
      <w:pPr>
        <w:keepNext/>
        <w:spacing w:before="180" w:after="90" w:line="264" w:lineRule="auto"/>
        <w:jc w:val="both"/>
      </w:pPr>
      <w:r>
        <w:rPr>
          <w:rFonts w:ascii="Arial" w:hAnsi="Arial" w:cs="Arial"/>
          <w:b/>
          <w:bCs/>
          <w:sz w:val="20"/>
          <w:szCs w:val="20"/>
        </w:rPr>
        <w:t xml:space="preserve">6. Review the proposed weighting and recognition cycle.</w:t>
      </w:r>
    </w:p>
    <w:p>
      <w:pPr>
        <w:spacing w:before="0" w:after="140" w:line="264" w:lineRule="auto"/>
        <w:jc w:val="both"/>
      </w:pPr>
      <w:r>
        <w:rPr>
          <w:rFonts w:ascii="Arial" w:hAnsi="Arial" w:cs="Arial"/>
          <w:sz w:val="20"/>
          <w:szCs w:val="20"/>
        </w:rPr>
        <w:t xml:space="preserve">The bill's quarterly and triennial recognition structure may create unnecessary compliance pressure and reporting churn. A more calibrated assessment cycle would better match the pace at which governance and human development outcomes can realistically improve. ULAP urges that the cycle be spaced to the rhythm of genuine change rather than the cadence of reporting.</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objective of strengthening meritocracy and performance in government, subject to substantial amendments that protect local autonomy, tailor obligations to actual LGU capacity, and keep the system focused on measurable improvement rather than compliance volume.</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