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left"/>
      </w:pPr>
      <w:r>
        <w:rPr>
          <w:b/>
          <w:color w:val="B23B3B"/>
          <w:sz w:val="22"/>
        </w:rPr>
        <w:t>CONFIDENTIAL — ULAP INTERNAL WORKING DRAFT</w:t>
      </w:r>
    </w:p>
    <w:p>
      <w:pPr>
        <w:jc w:val="left"/>
      </w:pPr>
      <w:r>
        <w:rPr>
          <w:i/>
          <w:color w:val="5A6473"/>
          <w:sz w:val="18"/>
        </w:rPr>
        <w:t>This is an internal working draft of the Union of Local Authorities of the Philippines (ULAP) National Executive Board. It must not be circulated, published, or forwarded outside ULAP without prior approval of the ULAP National Executive Board.</w:t>
      </w:r>
    </w:p>
    <w:p/>
    <w:p>
      <w:pPr>
        <w:spacing w:before="0" w:after="0" w:line="1980" w:lineRule="exact"/>
        <w:jc w:val="left"/>
      </w:pPr>
    </w:p>
    <w:p>
      <w:pPr>
        <w:spacing w:before="0" w:after="40" w:line="264" w:lineRule="auto"/>
        <w:jc w:val="center"/>
      </w:pPr>
      <w:r>
        <w:rPr>
          <w:rFonts w:ascii="Arial" w:hAnsi="Arial" w:cs="Arial"/>
          <w:b/>
          <w:bCs/>
          <w:sz w:val="24"/>
          <w:szCs w:val="24"/>
        </w:rPr>
        <w:t xml:space="preserve">POSITION PAPER ON SBN 21, SBN 534, SBN 1918, AND SRN 345</w:t>
      </w:r>
    </w:p>
    <w:p>
      <w:pPr>
        <w:spacing w:before="40" w:after="200" w:line="264" w:lineRule="auto"/>
        <w:jc w:val="center"/>
      </w:pPr>
      <w:r>
        <w:rPr>
          <w:rFonts w:ascii="Arial" w:hAnsi="Arial" w:cs="Arial"/>
          <w:b/>
          <w:bCs/>
          <w:sz w:val="24"/>
          <w:szCs w:val="24"/>
        </w:rPr>
        <w:t xml:space="preserve">ON THE REGULATION OF VAPORIZED AND HEATED TOBACCO PRODUCTS</w:t>
      </w:r>
    </w:p>
    <w:p>
      <w:pPr>
        <w:spacing w:before="0" w:after="140" w:line="264" w:lineRule="auto"/>
        <w:jc w:val="both"/>
      </w:pPr>
      <w:r>
        <w:rPr>
          <w:rFonts w:ascii="Arial" w:hAnsi="Arial" w:cs="Arial"/>
          <w:sz w:val="20"/>
          <w:szCs w:val="20"/>
        </w:rPr>
        <w:t xml:space="preserve">Submitted for the Senate Committee on Health and Demography public hearing of 06 May 2026.</w:t>
      </w:r>
    </w:p>
    <w:p>
      <w:pPr>
        <w:spacing w:before="0" w:after="140" w:line="264" w:lineRule="auto"/>
        <w:jc w:val="both"/>
      </w:pPr>
      <w:r>
        <w:rPr>
          <w:rFonts w:ascii="Arial" w:hAnsi="Arial" w:cs="Arial"/>
          <w:sz w:val="20"/>
          <w:szCs w:val="20"/>
        </w:rPr>
        <w:t xml:space="preserve">The Union of Local Authorities of the Philippines (ULAP) supports stronger public-health safeguards on vaporized nicotine and non-nicotine products, heated tobacco products, and related imitation tobacco products, particularly measures aimed at protecting children and adolescents, reducing access near schools, tightening misleading advertising, and restoring a health-centered regulatory framework. Implementation will depend heavily on LGUs, which already carry front-line responsibilities for local health promotion, business permitting, zoning, inspection support, and ordinance enforcement. Any new national policy should therefore protect public health without creating unfunded or poorly delineated local enforcement burdens.</w:t>
      </w:r>
    </w:p>
    <w:p>
      <w:pPr>
        <w:keepNext/>
        <w:spacing w:before="220" w:after="100" w:line="264" w:lineRule="auto"/>
        <w:jc w:val="left"/>
      </w:pPr>
      <w:r>
        <w:rPr>
          <w:rFonts w:ascii="Arial" w:hAnsi="Arial" w:cs="Arial"/>
          <w:b/>
          <w:bCs/>
          <w:sz w:val="20"/>
          <w:szCs w:val="20"/>
        </w:rPr>
        <w:t xml:space="preserve">ULAP's Comments and Recommendations</w:t>
      </w:r>
    </w:p>
    <w:p>
      <w:pPr>
        <w:keepNext/>
        <w:spacing w:before="180" w:after="90" w:line="264" w:lineRule="auto"/>
        <w:jc w:val="both"/>
      </w:pPr>
      <w:r>
        <w:rPr>
          <w:rFonts w:ascii="Arial" w:hAnsi="Arial" w:cs="Arial"/>
          <w:b/>
          <w:bCs/>
          <w:sz w:val="20"/>
          <w:szCs w:val="20"/>
        </w:rPr>
        <w:t xml:space="preserve">1. Support stronger youth-protection provisions.</w:t>
      </w:r>
    </w:p>
    <w:p>
      <w:pPr>
        <w:spacing w:before="0" w:after="140" w:line="264" w:lineRule="auto"/>
        <w:jc w:val="both"/>
      </w:pPr>
      <w:r>
        <w:rPr>
          <w:rFonts w:ascii="Arial" w:hAnsi="Arial" w:cs="Arial"/>
          <w:sz w:val="20"/>
          <w:szCs w:val="20"/>
        </w:rPr>
        <w:t xml:space="preserve">These include raising the minimum age, tightening school-perimeter restrictions, limiting youth-oriented flavors and marketing, and strengthening controls on online access. Where the health rationale is clearest, so is the case for firm national standards.</w:t>
      </w:r>
    </w:p>
    <w:p>
      <w:pPr>
        <w:keepNext/>
        <w:spacing w:before="180" w:after="90" w:line="264" w:lineRule="auto"/>
        <w:jc w:val="both"/>
      </w:pPr>
      <w:r>
        <w:rPr>
          <w:rFonts w:ascii="Arial" w:hAnsi="Arial" w:cs="Arial"/>
          <w:b/>
          <w:bCs/>
          <w:sz w:val="20"/>
          <w:szCs w:val="20"/>
        </w:rPr>
        <w:t xml:space="preserve">2. Restore and clarify the primary public-health role of DOH and FDA, while ensuring DILG and LGUs are consulted in the enforcement framework.</w:t>
      </w:r>
    </w:p>
    <w:p>
      <w:pPr>
        <w:spacing w:before="0" w:after="140" w:line="264" w:lineRule="auto"/>
        <w:jc w:val="both"/>
      </w:pPr>
      <w:r>
        <w:rPr>
          <w:rFonts w:ascii="Arial" w:hAnsi="Arial" w:cs="Arial"/>
          <w:sz w:val="20"/>
          <w:szCs w:val="20"/>
        </w:rPr>
        <w:t xml:space="preserve">Product standards, health warnings, and health claims should be led by the health regulators, while local enforcement protocols should be jointly issued with DILG to avoid inconsistent implementation on the ground. ULAP recommends that the division of labor between national standard-setting and local enforcement be stated expressly rather than left to practice.</w:t>
      </w:r>
    </w:p>
    <w:p>
      <w:pPr>
        <w:keepNext/>
        <w:spacing w:before="180" w:after="90" w:line="264" w:lineRule="auto"/>
        <w:jc w:val="both"/>
      </w:pPr>
      <w:r>
        <w:rPr>
          <w:rFonts w:ascii="Arial" w:hAnsi="Arial" w:cs="Arial"/>
          <w:b/>
          <w:bCs/>
          <w:sz w:val="20"/>
          <w:szCs w:val="20"/>
        </w:rPr>
        <w:t xml:space="preserve">3. Preserve and explicitly strengthen LGU authority to enact stricter local ordinances.</w:t>
      </w:r>
    </w:p>
    <w:p>
      <w:pPr>
        <w:spacing w:before="0" w:after="140" w:line="264" w:lineRule="auto"/>
        <w:jc w:val="both"/>
      </w:pPr>
      <w:r>
        <w:rPr>
          <w:rFonts w:ascii="Arial" w:hAnsi="Arial" w:cs="Arial"/>
          <w:sz w:val="20"/>
          <w:szCs w:val="20"/>
        </w:rPr>
        <w:t xml:space="preserve">ULAP supports provisions recognizing that cities and municipalities may adopt stricter standards, or outright local bans, where local conditions warrant, consistent with the general welfare clause. The national floor should set the minimum, not the ceiling, for local health protection.</w:t>
      </w:r>
    </w:p>
    <w:p>
      <w:pPr>
        <w:keepNext/>
        <w:spacing w:before="180" w:after="90" w:line="264" w:lineRule="auto"/>
        <w:jc w:val="both"/>
      </w:pPr>
      <w:r>
        <w:rPr>
          <w:rFonts w:ascii="Arial" w:hAnsi="Arial" w:cs="Arial"/>
          <w:b/>
          <w:bCs/>
          <w:sz w:val="20"/>
          <w:szCs w:val="20"/>
        </w:rPr>
        <w:t xml:space="preserve">4. Avoid unfunded mandates on LGUs.</w:t>
      </w:r>
    </w:p>
    <w:p>
      <w:pPr>
        <w:spacing w:before="0" w:after="140" w:line="264" w:lineRule="auto"/>
        <w:jc w:val="both"/>
      </w:pPr>
      <w:r>
        <w:rPr>
          <w:rFonts w:ascii="Arial" w:hAnsi="Arial" w:cs="Arial"/>
          <w:sz w:val="20"/>
          <w:szCs w:val="20"/>
        </w:rPr>
        <w:t xml:space="preserve">If national legislation expects LGUs to assist in surveillance, school-perimeter enforcement, point-of-sale monitoring, youth education, or compliance inspections, the law or the IRR should provide national funding support, standard inspection templates, shared information systems, and clear agency responsibility lines. A duty assigned without the means to perform it becomes non-implementation in the localities least able to absorb the cost.</w:t>
      </w:r>
    </w:p>
    <w:p>
      <w:pPr>
        <w:keepNext/>
        <w:spacing w:before="180" w:after="90" w:line="264" w:lineRule="auto"/>
        <w:jc w:val="both"/>
      </w:pPr>
      <w:r>
        <w:rPr>
          <w:rFonts w:ascii="Arial" w:hAnsi="Arial" w:cs="Arial"/>
          <w:b/>
          <w:bCs/>
          <w:sz w:val="20"/>
          <w:szCs w:val="20"/>
        </w:rPr>
        <w:t xml:space="preserve">5. Use implementable zoning and transition rules.</w:t>
      </w:r>
    </w:p>
    <w:p>
      <w:pPr>
        <w:spacing w:before="0" w:after="140" w:line="264" w:lineRule="auto"/>
        <w:jc w:val="both"/>
      </w:pPr>
      <w:r>
        <w:rPr>
          <w:rFonts w:ascii="Arial" w:hAnsi="Arial" w:cs="Arial"/>
          <w:sz w:val="20"/>
          <w:szCs w:val="20"/>
        </w:rPr>
        <w:t xml:space="preserve">Restrictions around schools and public spaces should be paired with standard mapping guidance and reasonable transition arrangements for affected establishments, so that LGUs can enforce consistently and avoid arbitrary disputes. ULAP proposes that the IRR supply the mapping method rather than leave each LGU to devise its own.</w:t>
      </w:r>
    </w:p>
    <w:p>
      <w:pPr>
        <w:keepNext/>
        <w:spacing w:before="180" w:after="90" w:line="264" w:lineRule="auto"/>
        <w:jc w:val="both"/>
      </w:pPr>
      <w:r>
        <w:rPr>
          <w:rFonts w:ascii="Arial" w:hAnsi="Arial" w:cs="Arial"/>
          <w:b/>
          <w:bCs/>
          <w:sz w:val="20"/>
          <w:szCs w:val="20"/>
        </w:rPr>
        <w:t xml:space="preserve">6. Pair enforcement with prevention and cessation support.</w:t>
      </w:r>
    </w:p>
    <w:p>
      <w:pPr>
        <w:spacing w:before="0" w:after="140" w:line="264" w:lineRule="auto"/>
        <w:jc w:val="both"/>
      </w:pPr>
      <w:r>
        <w:rPr>
          <w:rFonts w:ascii="Arial" w:hAnsi="Arial" w:cs="Arial"/>
          <w:sz w:val="20"/>
          <w:szCs w:val="20"/>
        </w:rPr>
        <w:t xml:space="preserve">The measures should be complemented by sustained public information campaigns, school and community education, and accessible cessation support, so that LGUs are not confined to a purely punitive role. Enforcement without a cessation pathway treats a health problem as only a compliance problem.</w:t>
      </w:r>
    </w:p>
    <w:p>
      <w:pPr>
        <w:keepNext/>
        <w:spacing w:before="220" w:after="100" w:line="264" w:lineRule="auto"/>
        <w:jc w:val="left"/>
      </w:pPr>
      <w:r>
        <w:rPr>
          <w:rFonts w:ascii="Arial" w:hAnsi="Arial" w:cs="Arial"/>
          <w:b/>
          <w:bCs/>
          <w:sz w:val="20"/>
          <w:szCs w:val="20"/>
        </w:rPr>
        <w:t xml:space="preserve">Specific ULAP Comments on the Measures</w:t>
      </w:r>
    </w:p>
    <w:p>
      <w:pPr>
        <w:spacing w:before="0" w:after="140" w:line="264" w:lineRule="auto"/>
        <w:jc w:val="both"/>
      </w:pPr>
      <w:r>
        <w:rPr>
          <w:rFonts w:ascii="Arial" w:hAnsi="Arial" w:cs="Arial"/>
          <w:sz w:val="20"/>
          <w:szCs w:val="20"/>
        </w:rPr>
        <w:t xml:space="preserve">On SBN 21, ULAP generally supports the bill's stronger health-centered framework, especially the restoration of FDA-led regulation, tighter flavor limits, restrictions on online sale, protection of school zones, and explicit recognition that LGUs may impose stricter local standards. ULAP recommends clarifying the implementation responsibilities of LGUs and providing fiscal and technical support where local monitoring is expected.</w:t>
      </w:r>
    </w:p>
    <w:p>
      <w:pPr>
        <w:spacing w:before="0" w:after="140" w:line="264" w:lineRule="auto"/>
        <w:jc w:val="both"/>
      </w:pPr>
      <w:r>
        <w:rPr>
          <w:rFonts w:ascii="Arial" w:hAnsi="Arial" w:cs="Arial"/>
          <w:sz w:val="20"/>
          <w:szCs w:val="20"/>
        </w:rPr>
        <w:t xml:space="preserve">On SBN 534, ULAP supports the proposed transfer of regulatory jurisdiction toward the health authorities and the strengthening of youth-access controls, and recommends revising the enforcement sections so the duties of DOH, DILG, LGUs, DepEd, and other agencies are clearly sequenced, funded, and operationalized in the IRR.</w:t>
      </w:r>
    </w:p>
    <w:p>
      <w:pPr>
        <w:spacing w:before="0" w:after="140" w:line="264" w:lineRule="auto"/>
        <w:jc w:val="both"/>
      </w:pPr>
      <w:r>
        <w:rPr>
          <w:rFonts w:ascii="Arial" w:hAnsi="Arial" w:cs="Arial"/>
          <w:sz w:val="20"/>
          <w:szCs w:val="20"/>
        </w:rPr>
        <w:t xml:space="preserve">On the broader hearing package, ULAP recommends that the Senate harmonize the pending measures around a single public-health objective: reduce youth initiation, regulate product safety and marketing strictly, and preserve enough implementation clarity for local governments to enforce the law fairly and consistently.</w:t>
      </w:r>
    </w:p>
    <w:p>
      <w:pPr>
        <w:spacing w:before="160" w:after="160" w:line="264" w:lineRule="auto"/>
        <w:jc w:val="center"/>
      </w:pPr>
      <w:r>
        <w:rPr>
          <w:rFonts w:ascii="Arial" w:hAnsi="Arial" w:cs="Arial"/>
          <w:b/>
          <w:bCs/>
          <w:i/>
          <w:iCs/>
          <w:sz w:val="22"/>
          <w:szCs w:val="22"/>
        </w:rPr>
        <w:t xml:space="preserve"> </w:t>
      </w:r>
      <w:r>
        <w:rPr>
          <w:rFonts w:ascii="Arial" w:hAnsi="Arial" w:cs="Arial"/>
          <w:b/>
          <w:bCs/>
          <w:sz w:val="22"/>
          <w:szCs w:val="22"/>
        </w:rPr>
        <w:t xml:space="preserve"> *</w:t>
      </w:r>
    </w:p>
    <w:p>
      <w:pPr>
        <w:spacing w:before="0" w:after="140" w:line="264" w:lineRule="auto"/>
        <w:jc w:val="both"/>
      </w:pPr>
      <w:r>
        <w:rPr>
          <w:rFonts w:ascii="Arial" w:hAnsi="Arial" w:cs="Arial"/>
          <w:sz w:val="20"/>
          <w:szCs w:val="20"/>
        </w:rPr>
        <w:t xml:space="preserve">ULAP is prepared to support stronger vape and heated-tobacco regulation provided that the final measure remains health-centered, respects local autonomy, and equips LGUs with the guidance and resources needed for implementation. The League respectfully recommends adoption of the above safeguards so that the law advances public health without shifting unclear or unfunded burdens to local governments.</w:t>
      </w:r>
    </w:p>
    <w:sectPr>
      <w:headerReference r:id="rId6" w:type="first"/>
      <w:footerReference r:id="rId7" w:type="first"/>
      <w:headerReference r:id="rId8" w:type="default"/>
      <w:footerReference r:id="rId9" w:type="default"/>
      <w:pgSz w:h="16838" w:w="11906" w:orient="portrait"/>
      <w:pgMar w:bottom="2160" w:top="1440" w:left="1440" w:right="1440" w:header="720" w:footer="576"/>
      <w:pgNumType w:start="1"/>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-962024</wp:posOffset>
          </wp:positionH>
          <wp:positionV relativeFrom="paragraph">
            <wp:posOffset>205787</wp:posOffset>
          </wp:positionV>
          <wp:extent cx="7762875" cy="933877"/>
          <wp:effectExtent b="0" l="0" r="0" t="0"/>
          <wp:wrapNone/>
          <wp:docPr id="2" name="image1.png"/>
          <a:graphic>
            <a:graphicData uri="http://schemas.openxmlformats.org/drawingml/2006/picture">
              <pic:pic>
                <pic:nvPicPr>
                  <pic:cNvPr id="0" name="image1.png"/>
                  <pic:cNvPicPr preferRelativeResize="0"/>
                </pic:nvPicPr>
                <pic:blipFill>
                  <a:blip r:embed="rId1"/>
                  <a:srcRect b="0" l="0" r="0" t="63954"/>
                  <a:stretch>
                    <a:fillRect/>
                  </a:stretch>
                </pic:blipFill>
                <pic:spPr>
                  <a:xfrm>
                    <a:off x="0" y="0"/>
                    <a:ext cx="7762875" cy="933877"/>
                  </a:xfrm>
                  <a:prstGeom prst="rect"/>
                  <a:ln/>
                </pic:spPr>
              </pic:pic>
            </a:graphicData>
          </a:graphic>
        </wp:anchor>
      </w:drawing>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ftr>
</file>

<file path=word/footer2.xml><?xml version="1.0" encoding="utf-8"?>
<w:ftr xmlns:w="http://schemas.openxmlformats.org/wordprocessingml/2006/main">
  <w:p>
    <w:pPr>
      <w:pStyle w:val="Footer"/>
      <w:jc w:val="center"/>
    </w:pPr>
    <w:r/>
    <w:r>
      <w:rPr>
        <w:color w:val="8A93A3"/>
        <w:sz w:val="16"/>
      </w:rPr>
      <w:t>ULAP Internal Document — Not for circulation without NEB Board approval</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2">
    <w:pPr>
      <w:tabs>
        <w:tab w:val="center" w:leader="none" w:pos="4680"/>
        <w:tab w:val="right" w:leader="none" w:pos="9360"/>
        <w:tab w:val="right" w:leader="none" w:pos="10184"/>
      </w:tabs>
      <w:spacing w:line="240" w:lineRule="auto"/>
      <w:jc w:val="center"/>
      <w:rPr>
        <w:sz w:val="7"/>
        <w:szCs w:val="7"/>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-1105632</wp:posOffset>
              </wp:positionH>
              <wp:positionV relativeFrom="paragraph">
                <wp:posOffset>-457199</wp:posOffset>
              </wp:positionV>
              <wp:extent cx="8249383" cy="1671638"/>
              <wp:effectExtent b="0" l="0" r="0" t="0"/>
              <wp:wrapSquare wrapText="bothSides" distB="0" distT="0" distL="114300" distR="114300"/>
              <wp:docPr id="1" name=""/>
              <a:graphic>
                <a:graphicData uri="http://schemas.microsoft.com/office/word/2010/wordprocessingGroup">
                  <wpg:wgp>
                    <wpg:cNvGrpSpPr/>
                    <wpg:grpSpPr>
                      <a:xfrm>
                        <a:off x="1414075" y="2974800"/>
                        <a:ext cx="8249383" cy="1671638"/>
                        <a:chOff x="1414075" y="2974800"/>
                        <a:chExt cx="7863850" cy="1610400"/>
                      </a:xfrm>
                    </wpg:grpSpPr>
                    <wpg:grpSp>
                      <wpg:cNvGrpSpPr/>
                      <wpg:grpSpPr>
                        <a:xfrm>
                          <a:off x="1414080" y="2974820"/>
                          <a:ext cx="7863840" cy="1610360"/>
                          <a:chOff x="1414075" y="2974800"/>
                          <a:chExt cx="7863850" cy="1610400"/>
                        </a:xfrm>
                      </wpg:grpSpPr>
                      <wps:wsp>
                        <wps:cNvSpPr/>
                        <wps:cNvPr id="3" name="Shape 3"/>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5" name="Shape 5"/>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7" name="Shape 7"/>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9" name="Shape 9"/>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0" y="0"/>
                                  <a:chExt cx="7863840" cy="1610360"/>
                                </a:xfrm>
                              </wpg:grpSpPr>
                              <wps:wsp>
                                <wps:cNvSpPr/>
                                <wps:cNvPr id="11" name="Shape 11"/>
                                <wps:spPr>
                                  <a:xfrm>
                                    <a:off x="0" y="0"/>
                                    <a:ext cx="7863825" cy="1610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A picture containing icon  Description automatically generated" id="12" name="Shape 12"/>
                                  <pic:cNvPicPr preferRelativeResize="0"/>
                                </pic:nvPicPr>
                                <pic:blipFill rotWithShape="1">
                                  <a:blip r:embed="rId1">
                                    <a:alphaModFix amt="50000"/>
                                  </a:blip>
                                  <a:srcRect b="0" l="0" r="0" t="0"/>
                                  <a:stretch/>
                                </pic:blipFill>
                                <pic:spPr>
                                  <a:xfrm flipH="1">
                                    <a:off x="95250" y="228600"/>
                                    <a:ext cx="7767955" cy="1247775"/>
                                  </a:xfrm>
                                  <a:prstGeom prst="rect">
                                    <a:avLst/>
                                  </a:prstGeom>
                                  <a:noFill/>
                                  <a:ln>
                                    <a:noFill/>
                                  </a:ln>
                                </pic:spPr>
                              </pic:pic>
                              <pic:pic>
                                <pic:nvPicPr>
                                  <pic:cNvPr descr="A picture containing icon  Description automatically generated" id="13" name="Shape 13"/>
                                  <pic:cNvPicPr preferRelativeResize="0"/>
                                </pic:nvPicPr>
                                <pic:blipFill rotWithShape="1">
                                  <a:blip r:embed="rId1">
                                    <a:alphaModFix amt="50000"/>
                                  </a:blip>
                                  <a:srcRect b="0" l="0" r="39356" t="0"/>
                                  <a:stretch/>
                                </pic:blipFill>
                                <pic:spPr>
                                  <a:xfrm>
                                    <a:off x="95250" y="222250"/>
                                    <a:ext cx="4705350" cy="1247775"/>
                                  </a:xfrm>
                                  <a:prstGeom prst="rect">
                                    <a:avLst/>
                                  </a:prstGeom>
                                  <a:noFill/>
                                  <a:ln>
                                    <a:noFill/>
                                  </a:ln>
                                </pic:spPr>
                              </pic:pic>
                              <pic:pic>
                                <pic:nvPicPr>
                                  <pic:cNvPr id="14" name="Shape 14"/>
                                  <pic:cNvPicPr preferRelativeResize="0"/>
                                </pic:nvPicPr>
                                <pic:blipFill rotWithShape="1">
                                  <a:blip r:embed="rId2">
                                    <a:alphaModFix/>
                                  </a:blip>
                                  <a:srcRect b="29036" l="0" r="0" t="2914"/>
                                  <a:stretch/>
                                </pic:blipFill>
                                <pic:spPr>
                                  <a:xfrm>
                                    <a:off x="990600" y="590550"/>
                                    <a:ext cx="5943600" cy="1019810"/>
                                  </a:xfrm>
                                  <a:prstGeom prst="rect">
                                    <a:avLst/>
                                  </a:prstGeom>
                                  <a:noFill/>
                                  <a:ln>
                                    <a:noFill/>
                                  </a:ln>
                                </pic:spPr>
                              </pic:pic>
                              <pic:pic>
                                <pic:nvPicPr>
                                  <pic:cNvPr descr="Background pattern  Description automatically generated" id="15" name="Shape 15"/>
                                  <pic:cNvPicPr preferRelativeResize="0"/>
                                </pic:nvPicPr>
                                <pic:blipFill rotWithShape="1">
                                  <a:blip r:embed="rId3">
                                    <a:alphaModFix/>
                                  </a:blip>
                                  <a:srcRect b="0" l="0" r="0" t="0"/>
                                  <a:stretch/>
                                </pic:blipFill>
                                <pic:spPr>
                                  <a:xfrm>
                                    <a:off x="0" y="0"/>
                                    <a:ext cx="7863840" cy="396875"/>
                                  </a:xfrm>
                                  <a:prstGeom prst="rect">
                                    <a:avLst/>
                                  </a:prstGeom>
                                  <a:noFill/>
                                  <a:ln>
                                    <a:noFill/>
                                  </a:ln>
                                </pic:spPr>
                              </pic:pic>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-1105632</wp:posOffset>
              </wp:positionH>
              <wp:positionV relativeFrom="paragraph">
                <wp:posOffset>-457199</wp:posOffset>
              </wp:positionV>
              <wp:extent cx="8249383" cy="1671638"/>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4"/>
                      <a:srcRect/>
                      <a:stretch>
                        <a:fillRect/>
                      </a:stretch>
                    </pic:blipFill>
                    <pic:spPr>
                      <a:xfrm>
                        <a:off x="0" y="0"/>
                        <a:ext cx="8249383" cy="1671638"/>
                      </a:xfrm>
                      <a:prstGeom prst="rect"/>
                      <a:ln/>
                    </pic:spPr>
                  </pic:pic>
                </a:graphicData>
              </a:graphic>
            </wp:anchor>
          </w:drawing>
        </mc:Fallback>
      </mc:AlternateContent>
    </w:r>
  </w:p>
  <w:p w:rsidR="00000000" w:rsidDel="00000000" w:rsidP="00000000" w:rsidRDefault="00000000" w:rsidRPr="00000000" w14:paraId="00000003">
    <w:pPr>
      <w:tabs>
        <w:tab w:val="center" w:leader="none" w:pos="4680"/>
        <w:tab w:val="right" w:leader="none" w:pos="9360"/>
        <w:tab w:val="right" w:leader="none" w:pos="10184"/>
      </w:tabs>
      <w:spacing w:line="240" w:lineRule="auto"/>
      <w:jc w:val="center"/>
      <w:rPr>
        <w:sz w:val="16"/>
        <w:szCs w:val="16"/>
      </w:rPr>
    </w:pPr>
    <w:r w:rsidDel="00000000" w:rsidR="00000000" w:rsidRPr="00000000">
      <w:rPr>
        <w:sz w:val="16"/>
        <w:szCs w:val="16"/>
        <w:rtl w:val="0"/>
      </w:rPr>
      <w:t xml:space="preserve">28F Unit 2803 Summit One Tower 530 Shaw Boulevard, Mandaluyong City</w:t>
    </w:r>
  </w:p>
  <w:p w:rsidR="00000000" w:rsidDel="00000000" w:rsidP="00000000" w:rsidRDefault="00000000" w:rsidRPr="00000000" w14:paraId="00000004">
    <w:pPr>
      <w:tabs>
        <w:tab w:val="center" w:leader="none" w:pos="4680"/>
        <w:tab w:val="right" w:leader="none" w:pos="9360"/>
      </w:tabs>
      <w:spacing w:line="240" w:lineRule="auto"/>
      <w:jc w:val="center"/>
      <w:rPr>
        <w:sz w:val="16"/>
        <w:szCs w:val="16"/>
      </w:rPr>
    </w:pPr>
    <w:r w:rsidDel="00000000" w:rsidR="00000000" w:rsidRPr="00000000">
      <w:rPr>
        <w:b w:val="1"/>
        <w:bCs w:val="1"/>
        <w:sz w:val="16"/>
        <w:szCs w:val="16"/>
        <w:rtl w:val="0"/>
      </w:rPr>
      <w:t xml:space="preserve">Phone: </w:t>
    </w:r>
    <w:r w:rsidDel="00000000" w:rsidR="00000000" w:rsidRPr="00000000">
      <w:rPr>
        <w:sz w:val="16"/>
        <w:szCs w:val="16"/>
        <w:rtl w:val="0"/>
      </w:rPr>
      <w:t xml:space="preserve">(+63) 9189856659 </w:t>
    </w:r>
    <w:r w:rsidDel="00000000" w:rsidR="00000000" w:rsidRPr="00000000">
      <w:rPr>
        <w:b w:val="1"/>
        <w:bCs w:val="1"/>
        <w:sz w:val="16"/>
        <w:szCs w:val="16"/>
        <w:rtl w:val="0"/>
      </w:rPr>
      <w:t xml:space="preserve">E-Mail:</w:t>
    </w:r>
    <w:r w:rsidDel="00000000" w:rsidR="00000000" w:rsidRPr="00000000">
      <w:rPr>
        <w:sz w:val="16"/>
        <w:szCs w:val="16"/>
        <w:rtl w:val="0"/>
      </w:rPr>
      <w:t xml:space="preserve"> </w:t>
    </w:r>
    <w:hyperlink r:id="rId5">
      <w:r w:rsidDel="00000000" w:rsidR="00000000" w:rsidRPr="00000000">
        <w:rPr>
          <w:color w:val="0563c1"/>
          <w:sz w:val="16"/>
          <w:szCs w:val="16"/>
          <w:u w:val="single"/>
          <w:rtl w:val="0"/>
        </w:rPr>
        <w:t xml:space="preserve">ulapnatsec@gmail.com</w:t>
      </w:r>
    </w:hyperlink>
    <w:r w:rsidDel="00000000" w:rsidR="00000000" w:rsidRPr="00000000">
      <w:rPr>
        <w:sz w:val="16"/>
        <w:szCs w:val="16"/>
        <w:rtl w:val="0"/>
      </w:rPr>
      <w:t xml:space="preserve">, </w:t>
    </w:r>
    <w:hyperlink r:id="rId6">
      <w:r w:rsidDel="00000000" w:rsidR="00000000" w:rsidRPr="00000000">
        <w:rPr>
          <w:color w:val="0563c1"/>
          <w:sz w:val="16"/>
          <w:szCs w:val="16"/>
          <w:u w:val="single"/>
          <w:rtl w:val="0"/>
        </w:rPr>
        <w:t xml:space="preserve">secretariat@ulap.net.ph</w:t>
      </w:r>
    </w:hyperlink>
    <w:r w:rsidDel="00000000" w:rsidR="00000000" w:rsidRPr="00000000">
      <w:rPr>
        <w:rtl w:val="0"/>
      </w:rPr>
    </w:r>
  </w:p>
  <w:p w:rsidR="00000000" w:rsidDel="00000000" w:rsidP="00000000" w:rsidRDefault="00000000" w:rsidRPr="00000000" w14:paraId="00000005">
    <w:pPr>
      <w:tabs>
        <w:tab w:val="center" w:leader="none" w:pos="4680"/>
        <w:tab w:val="right" w:leader="none" w:pos="9360"/>
      </w:tabs>
      <w:spacing w:line="240" w:lineRule="auto"/>
      <w:jc w:val="center"/>
      <w:rPr>
        <w:sz w:val="16"/>
        <w:szCs w:val="16"/>
      </w:rPr>
    </w:pPr>
    <w:r w:rsidDel="00000000" w:rsidR="00000000" w:rsidRPr="00000000">
      <w:rPr>
        <w:b w:val="1"/>
        <w:bCs w:val="1"/>
        <w:sz w:val="16"/>
        <w:szCs w:val="16"/>
        <w:rtl w:val="0"/>
      </w:rPr>
      <w:t xml:space="preserve">Website:</w:t>
    </w:r>
    <w:r w:rsidDel="00000000" w:rsidR="00000000" w:rsidRPr="00000000">
      <w:rPr>
        <w:sz w:val="16"/>
        <w:szCs w:val="16"/>
        <w:rtl w:val="0"/>
      </w:rPr>
      <w:t xml:space="preserve"> </w:t>
    </w:r>
    <w:hyperlink r:id="rId7">
      <w:r w:rsidDel="00000000" w:rsidR="00000000" w:rsidRPr="00000000">
        <w:rPr>
          <w:color w:val="0563c1"/>
          <w:sz w:val="16"/>
          <w:szCs w:val="16"/>
          <w:u w:val="single"/>
          <w:rtl w:val="0"/>
        </w:rPr>
        <w:t xml:space="preserve">www.ulap.net.ph</w:t>
      </w:r>
    </w:hyperlink>
    <w:r w:rsidDel="00000000" w:rsidR="00000000" w:rsidRPr="00000000">
      <w:rPr>
        <w:sz w:val="16"/>
        <w:szCs w:val="16"/>
        <w:rtl w:val="0"/>
      </w:rPr>
      <w:t xml:space="preserve"> </w:t>
    </w:r>
    <w:r w:rsidDel="00000000" w:rsidR="00000000" w:rsidRPr="00000000">
      <w:rPr>
        <w:b w:val="1"/>
        <w:bCs w:val="1"/>
        <w:sz w:val="16"/>
        <w:szCs w:val="16"/>
        <w:rtl w:val="0"/>
      </w:rPr>
      <w:t xml:space="preserve">Facebook:</w:t>
    </w:r>
    <w:r w:rsidDel="00000000" w:rsidR="00000000" w:rsidRPr="00000000">
      <w:rPr>
        <w:sz w:val="16"/>
        <w:szCs w:val="16"/>
        <w:rtl w:val="0"/>
      </w:rPr>
      <w:t xml:space="preserve"> </w:t>
    </w:r>
    <w:hyperlink r:id="rId8">
      <w:r w:rsidDel="00000000" w:rsidR="00000000" w:rsidRPr="00000000">
        <w:rPr>
          <w:color w:val="0563c1"/>
          <w:sz w:val="16"/>
          <w:szCs w:val="16"/>
          <w:u w:val="single"/>
          <w:rtl w:val="0"/>
        </w:rPr>
        <w:t xml:space="preserve">www.facebook.com/ulap.net.ph</w:t>
      </w:r>
    </w:hyperlink>
    <w:r w:rsidDel="00000000" w:rsidR="00000000" w:rsidRPr="00000000">
      <w:rPr>
        <w:sz w:val="16"/>
        <w:szCs w:val="16"/>
        <w:rtl w:val="0"/>
      </w:rPr>
      <w:t xml:space="preserve"> </w:t>
    </w:r>
  </w:p>
  <w:p w:rsidR="00000000" w:rsidDel="00000000" w:rsidP="00000000" w:rsidRDefault="00000000" w:rsidRPr="00000000" w14:paraId="00000006">
    <w:pPr>
      <w:pBdr>
        <w:bottom w:color="000000" w:space="1" w:sz="6" w:val="single"/>
      </w:pBdr>
      <w:tabs>
        <w:tab w:val="center" w:leader="none" w:pos="4680"/>
        <w:tab w:val="right" w:leader="none" w:pos="9360"/>
      </w:tabs>
      <w:spacing w:line="240" w:lineRule="auto"/>
      <w:ind w:left="-1134" w:right="-1097" w:firstLine="0"/>
      <w:rPr>
        <w:b w:val="1"/>
        <w:bCs w:val="1"/>
        <w:color w:val="002060"/>
        <w:sz w:val="15"/>
        <w:szCs w:val="15"/>
      </w:rPr>
    </w:pPr>
    <w:r w:rsidDel="00000000" w:rsidR="00000000" w:rsidRPr="00000000">
      <w:rPr>
        <w:rtl w:val="0"/>
      </w:rPr>
    </w:r>
  </w:p>
  <w:p w:rsidR="00000000" w:rsidDel="00000000" w:rsidP="00000000" w:rsidRDefault="00000000" w:rsidRPr="00000000" w14:paraId="00000007">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hdr>
</file>

<file path=word/header2.xml><?xml version="1.0" encoding="utf-8"?>
<w:hdr xmlns:w="http://schemas.openxmlformats.org/wordprocessingml/2006/main">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 Id="rId3" Type="http://schemas.openxmlformats.org/officeDocument/2006/relationships/image" Target="media/image5.jpg"/><Relationship Id="rId4" Type="http://schemas.openxmlformats.org/officeDocument/2006/relationships/image" Target="media/image2.png"/><Relationship Id="rId5" Type="http://schemas.openxmlformats.org/officeDocument/2006/relationships/hyperlink" Target="about:blank" TargetMode="External"/><Relationship Id="rId6" Type="http://schemas.openxmlformats.org/officeDocument/2006/relationships/hyperlink" Target="about:blank" TargetMode="External"/><Relationship Id="rId7" Type="http://schemas.openxmlformats.org/officeDocument/2006/relationships/hyperlink" Target="about:blank" TargetMode="External"/><Relationship Id="rId8"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