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jc w:val="left"/>
      </w:pPr>
      <w:r>
        <w:rPr>
          <w:b/>
          <w:color w:val="B23B3B"/>
          <w:sz w:val="22"/>
        </w:rPr>
        <w:t>CONFIDENTIAL — ULAP INTERNAL WORKING DRAFT</w:t>
      </w:r>
    </w:p>
    <w:p>
      <w:pPr>
        <w:jc w:val="left"/>
      </w:pPr>
      <w:r>
        <w:rPr>
          <w:i/>
          <w:color w:val="5A6473"/>
          <w:sz w:val="18"/>
        </w:rPr>
        <w:t>This is an internal working draft of the Union of Local Authorities of the Philippines (ULAP) National Executive Board. It must not be circulated, published, or forwarded outside ULAP without prior approval of the ULAP National Executive Board.</w:t>
      </w:r>
    </w:p>
    <w:p/>
    <w:p>
      <w:pPr>
        <w:spacing w:before="0" w:after="0" w:line="1980" w:lineRule="exact"/>
        <w:jc w:val="left"/>
      </w:pPr>
    </w:p>
    <w:p>
      <w:pPr>
        <w:spacing w:before="0" w:after="40" w:line="264" w:lineRule="auto"/>
        <w:jc w:val="center"/>
      </w:pPr>
      <w:r>
        <w:rPr>
          <w:rFonts w:ascii="Arial" w:hAnsi="Arial" w:cs="Arial"/>
          <w:b/>
          <w:bCs/>
          <w:sz w:val="24"/>
          <w:szCs w:val="24"/>
        </w:rPr>
        <w:t xml:space="preserve">POSITION PAPER ON THE PROPOSED RIGHT TO INFORMATION ACT</w:t>
      </w:r>
    </w:p>
    <w:p>
      <w:pPr>
        <w:spacing w:before="40" w:after="200" w:line="264" w:lineRule="auto"/>
        <w:jc w:val="center"/>
      </w:pPr>
      <w:r>
        <w:rPr>
          <w:rFonts w:ascii="Arial" w:hAnsi="Arial" w:cs="Arial"/>
          <w:b/>
          <w:bCs/>
          <w:sz w:val="24"/>
          <w:szCs w:val="24"/>
        </w:rPr>
        <w:t xml:space="preserve">(SENATE BILL NOS. 156, 1625, 1648 AND RELATED HOUSE MEASURES)</w:t>
      </w:r>
    </w:p>
    <w:p>
      <w:pPr>
        <w:spacing w:before="0" w:after="140" w:line="264" w:lineRule="auto"/>
        <w:jc w:val="both"/>
      </w:pPr>
      <w:r>
        <w:rPr>
          <w:rFonts w:ascii="Arial" w:hAnsi="Arial" w:cs="Arial"/>
          <w:sz w:val="20"/>
          <w:szCs w:val="20"/>
        </w:rPr>
        <w:t xml:space="preserve">The Union of Local Authorities of the Philippines (ULAP), as the national umbrella organization of local government units and local officials, supports the enactment of a Right to Information Act that gives citizens clear and enforceable access to government information while preserving lawful exceptions, protecting personal data, and recognizing the implementation conditions under which local governments operate.</w:t>
      </w:r>
    </w:p>
    <w:p>
      <w:pPr>
        <w:spacing w:before="0" w:after="140" w:line="264" w:lineRule="auto"/>
        <w:jc w:val="both"/>
      </w:pPr>
      <w:r>
        <w:rPr>
          <w:rFonts w:ascii="Arial" w:hAnsi="Arial" w:cs="Arial"/>
          <w:sz w:val="20"/>
          <w:szCs w:val="20"/>
        </w:rPr>
        <w:t xml:space="preserve">For LGUs, the right to information is a daily operational reality. Citizens routinely seek budgets, ordinances, contracts, permits, project reports, land-use records, social-service documentation, and disaster-risk information from local offices. A national law can make access more coherent and dependable across jurisdictions, but it will work only if the implementation design reflects the uneven staffing, digitization, archival readiness, and legal support of provinces, cities, municipalities, and barangays.</w:t>
      </w:r>
    </w:p>
    <w:p>
      <w:pPr>
        <w:spacing w:before="0" w:after="140" w:line="264" w:lineRule="auto"/>
        <w:jc w:val="both"/>
      </w:pPr>
      <w:r>
        <w:rPr>
          <w:rFonts w:ascii="Arial" w:hAnsi="Arial" w:cs="Arial"/>
          <w:sz w:val="20"/>
          <w:szCs w:val="20"/>
        </w:rPr>
        <w:t xml:space="preserve">ULAP's experience with local FOI initiatives shows that access rights are strongest when paired with records management, designated focal persons, workable request and review procedures, digitization support where feasible, and clear guidance on privacy-sensitive and security-sensitive records. A statutory right should be matched by the administrative means necessary to give it consistent effect.</w:t>
      </w:r>
    </w:p>
    <w:p>
      <w:pPr>
        <w:keepNext/>
        <w:spacing w:before="220" w:after="100" w:line="264" w:lineRule="auto"/>
        <w:jc w:val="left"/>
      </w:pPr>
      <w:r>
        <w:rPr>
          <w:rFonts w:ascii="Arial" w:hAnsi="Arial" w:cs="Arial"/>
          <w:b/>
          <w:bCs/>
          <w:sz w:val="20"/>
          <w:szCs w:val="20"/>
        </w:rPr>
        <w:t xml:space="preserve">ULAP's Comments and Recommendations</w:t>
      </w:r>
    </w:p>
    <w:p>
      <w:pPr>
        <w:keepNext/>
        <w:spacing w:before="180" w:after="90" w:line="264" w:lineRule="auto"/>
        <w:jc w:val="both"/>
      </w:pPr>
      <w:r>
        <w:rPr>
          <w:rFonts w:ascii="Arial" w:hAnsi="Arial" w:cs="Arial"/>
          <w:b/>
          <w:bCs/>
          <w:sz w:val="20"/>
          <w:szCs w:val="20"/>
        </w:rPr>
        <w:t xml:space="preserve">1. The law may properly apply to LGUs, but its implementation framework should remain realistic and proportionate.</w:t>
      </w:r>
    </w:p>
    <w:p>
      <w:pPr>
        <w:spacing w:before="0" w:after="140" w:line="264" w:lineRule="auto"/>
        <w:jc w:val="both"/>
      </w:pPr>
      <w:r>
        <w:rPr>
          <w:rFonts w:ascii="Arial" w:hAnsi="Arial" w:cs="Arial"/>
          <w:sz w:val="20"/>
          <w:szCs w:val="20"/>
        </w:rPr>
        <w:t xml:space="preserve">Provinces, cities, and municipalities should be allowed to designate an existing officer or office for RTI functions, adopt local manuals based on national standards, and maintain an appropriate request-tracking mechanism without being compelled to create new plantilla positions or separate offices absent corresponding support. Barangays should be allowed simplified procedures and standard forms, with municipal or city assistance for complex requests and appeals.</w:t>
      </w:r>
    </w:p>
    <w:p>
      <w:pPr>
        <w:keepNext/>
        <w:spacing w:before="180" w:after="90" w:line="264" w:lineRule="auto"/>
        <w:jc w:val="both"/>
      </w:pPr>
      <w:r>
        <w:rPr>
          <w:rFonts w:ascii="Arial" w:hAnsi="Arial" w:cs="Arial"/>
          <w:b/>
          <w:bCs/>
          <w:sz w:val="20"/>
          <w:szCs w:val="20"/>
        </w:rPr>
        <w:t xml:space="preserve">2. The statute should expressly allow both digital and low-technology modes of compliance.</w:t>
      </w:r>
    </w:p>
    <w:p>
      <w:pPr>
        <w:spacing w:before="0" w:after="140" w:line="264" w:lineRule="auto"/>
        <w:jc w:val="both"/>
      </w:pPr>
      <w:r>
        <w:rPr>
          <w:rFonts w:ascii="Arial" w:hAnsi="Arial" w:cs="Arial"/>
          <w:sz w:val="20"/>
          <w:szCs w:val="20"/>
        </w:rPr>
        <w:t xml:space="preserve">In many localities, especially where records remain manual or connectivity is weak, receiving desks, logbooks, posted-notice systems, and ordinary communication channels may be more feasible than immediate portal-based implementation. ULAP recommends that the law be technology-neutral and allow progressive digitalization, without treating the absence of advanced systems as noncompliance in itself.</w:t>
      </w:r>
    </w:p>
    <w:p>
      <w:pPr>
        <w:keepNext/>
        <w:spacing w:before="180" w:after="90" w:line="264" w:lineRule="auto"/>
        <w:jc w:val="both"/>
      </w:pPr>
      <w:r>
        <w:rPr>
          <w:rFonts w:ascii="Arial" w:hAnsi="Arial" w:cs="Arial"/>
          <w:b/>
          <w:bCs/>
          <w:sz w:val="20"/>
          <w:szCs w:val="20"/>
        </w:rPr>
        <w:t xml:space="preserve">3. The statutory exceptions should be clear, exclusive, and harmonized with the Constitution and related laws.</w:t>
      </w:r>
    </w:p>
    <w:p>
      <w:pPr>
        <w:spacing w:before="0" w:after="140" w:line="264" w:lineRule="auto"/>
        <w:jc w:val="both"/>
      </w:pPr>
      <w:r>
        <w:rPr>
          <w:rFonts w:ascii="Arial" w:hAnsi="Arial" w:cs="Arial"/>
          <w:sz w:val="20"/>
          <w:szCs w:val="20"/>
        </w:rPr>
        <w:t xml:space="preserve">The exceptions should track existing rules on privacy, public safety, law enforcement, national security, privileged communications, trade secrets, and protected stages of internal decision-making. The law should also distinguish public records from protected personal or case-specific records such as social-welfare files, health records, child-protection records, gender-based-violence records, personnel records, and comparable sensitive data.</w:t>
      </w:r>
    </w:p>
    <w:p>
      <w:pPr>
        <w:keepNext/>
        <w:spacing w:before="180" w:after="90" w:line="264" w:lineRule="auto"/>
        <w:jc w:val="both"/>
      </w:pPr>
      <w:r>
        <w:rPr>
          <w:rFonts w:ascii="Arial" w:hAnsi="Arial" w:cs="Arial"/>
          <w:b/>
          <w:bCs/>
          <w:sz w:val="20"/>
          <w:szCs w:val="20"/>
        </w:rPr>
        <w:t xml:space="preserve">4. Proactive disclosure obligations should be aligned with existing publication and reporting systems.</w:t>
      </w:r>
    </w:p>
    <w:p>
      <w:pPr>
        <w:spacing w:before="0" w:after="140" w:line="264" w:lineRule="auto"/>
        <w:jc w:val="both"/>
      </w:pPr>
      <w:r>
        <w:rPr>
          <w:rFonts w:ascii="Arial" w:hAnsi="Arial" w:cs="Arial"/>
          <w:sz w:val="20"/>
          <w:szCs w:val="20"/>
        </w:rPr>
        <w:t xml:space="preserve">Budgets, procurement plans, ordinances, annual investment programs, citizen charters, and project information should be made publicly accessible in reasonably usable formats. The Act should avoid forcing LGUs to upload identical documents across multiple non-interoperable platforms where a single official disclosure channel already exists.</w:t>
      </w:r>
    </w:p>
    <w:p>
      <w:pPr>
        <w:keepNext/>
        <w:spacing w:before="180" w:after="90" w:line="264" w:lineRule="auto"/>
        <w:jc w:val="both"/>
      </w:pPr>
      <w:r>
        <w:rPr>
          <w:rFonts w:ascii="Arial" w:hAnsi="Arial" w:cs="Arial"/>
          <w:b/>
          <w:bCs/>
          <w:sz w:val="20"/>
          <w:szCs w:val="20"/>
        </w:rPr>
        <w:t xml:space="preserve">5. Sanctions should target willful denial, concealment, destruction, falsification, or repeated unjustified refusal to disclose public records.</w:t>
      </w:r>
    </w:p>
    <w:p>
      <w:pPr>
        <w:spacing w:before="0" w:after="140" w:line="264" w:lineRule="auto"/>
        <w:jc w:val="both"/>
      </w:pPr>
      <w:r>
        <w:rPr>
          <w:rFonts w:ascii="Arial" w:hAnsi="Arial" w:cs="Arial"/>
          <w:sz w:val="20"/>
          <w:szCs w:val="20"/>
        </w:rPr>
        <w:t xml:space="preserve">The law should distinguish bad-faith obstruction from delays caused by good-faith legal review, incomplete or missing records, force majeure, digitization backlogs, system downtime, or ambiguous requests. In parallel, ULAP recommends that the law provide national support in training, records inventory, digitization, redaction guidance, request management, and interoperable tools through DILG, the Presidential Communications Office, DICT, the National Privacy Commission, and the partner leagues.</w:t>
      </w:r>
    </w:p>
    <w:p>
      <w:pPr>
        <w:keepNext/>
        <w:spacing w:before="180" w:after="90" w:line="264" w:lineRule="auto"/>
        <w:jc w:val="both"/>
      </w:pPr>
      <w:r>
        <w:rPr>
          <w:rFonts w:ascii="Arial" w:hAnsi="Arial" w:cs="Arial"/>
          <w:b/>
          <w:bCs/>
          <w:sz w:val="20"/>
          <w:szCs w:val="20"/>
        </w:rPr>
        <w:t xml:space="preserve">6. The law may strengthen transparency in contracts involving public funds or outsourced public functions.</w:t>
      </w:r>
    </w:p>
    <w:p>
      <w:pPr>
        <w:spacing w:before="0" w:after="140" w:line="264" w:lineRule="auto"/>
        <w:jc w:val="both"/>
      </w:pPr>
      <w:r>
        <w:rPr>
          <w:rFonts w:ascii="Arial" w:hAnsi="Arial" w:cs="Arial"/>
          <w:sz w:val="20"/>
          <w:szCs w:val="20"/>
        </w:rPr>
        <w:t xml:space="preserve">It may do so by requiring that records necessary for lawful public disclosure be retained by the responsible LGU, subject to recognized exemptions. This would help prevent accountability gaps where matters of public concern are effectively placed beyond reach through privatized implementation arrangements.</w:t>
      </w:r>
    </w:p>
    <w:p>
      <w:pPr>
        <w:spacing w:before="160" w:after="160" w:line="264" w:lineRule="auto"/>
        <w:jc w:val="center"/>
      </w:pPr>
      <w:r>
        <w:rPr>
          <w:rFonts w:ascii="Arial" w:hAnsi="Arial" w:cs="Arial"/>
          <w:b/>
          <w:bCs/>
          <w:i/>
          <w:iCs/>
          <w:sz w:val="22"/>
          <w:szCs w:val="22"/>
        </w:rPr>
        <w:t xml:space="preserve"> </w:t>
      </w:r>
      <w:r>
        <w:rPr>
          <w:rFonts w:ascii="Arial" w:hAnsi="Arial" w:cs="Arial"/>
          <w:b/>
          <w:bCs/>
          <w:sz w:val="22"/>
          <w:szCs w:val="22"/>
        </w:rPr>
        <w:t xml:space="preserve"> *</w:t>
      </w:r>
    </w:p>
    <w:p>
      <w:pPr>
        <w:spacing w:before="0" w:after="140" w:line="264" w:lineRule="auto"/>
        <w:jc w:val="both"/>
      </w:pPr>
      <w:r>
        <w:rPr>
          <w:rFonts w:ascii="Arial" w:hAnsi="Arial" w:cs="Arial"/>
          <w:sz w:val="20"/>
          <w:szCs w:val="20"/>
        </w:rPr>
        <w:t xml:space="preserve">ULAP supports a Right to Information law that broadens meaningful public access to government records while ensuring that disclosure is carried out lawfully, responsibly, and in a manner workable across all levels of local administration. The most effective version of the measure will be one that strengthens transparency, disciplines exceptions, and equips local governments with the standards, systems, and institutional support needed for compliance.</w:t>
      </w:r>
    </w:p>
    <w:sectPr>
      <w:headerReference r:id="rId6" w:type="first"/>
      <w:footerReference r:id="rId7" w:type="first"/>
      <w:headerReference r:id="rId8" w:type="default"/>
      <w:footerReference r:id="rId9" w:type="default"/>
      <w:pgSz w:h="16838" w:w="11906" w:orient="portrait"/>
      <w:pgMar w:bottom="2160" w:top="1440" w:left="1440" w:right="1440" w:header="720" w:footer="576"/>
      <w:pgNumType w:start="1"/>
      <w:titlePg/>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-962024</wp:posOffset>
          </wp:positionH>
          <wp:positionV relativeFrom="paragraph">
            <wp:posOffset>205787</wp:posOffset>
          </wp:positionV>
          <wp:extent cx="7762875" cy="933877"/>
          <wp:effectExtent b="0" l="0" r="0" t="0"/>
          <wp:wrapNone/>
          <wp:docPr id="2" name="image1.png"/>
          <a:graphic>
            <a:graphicData uri="http://schemas.openxmlformats.org/drawingml/2006/picture">
              <pic:pic>
                <pic:nvPicPr>
                  <pic:cNvPr id="0" name="image1.png"/>
                  <pic:cNvPicPr preferRelativeResize="0"/>
                </pic:nvPicPr>
                <pic:blipFill>
                  <a:blip r:embed="rId1"/>
                  <a:srcRect b="0" l="0" r="0" t="63954"/>
                  <a:stretch>
                    <a:fillRect/>
                  </a:stretch>
                </pic:blipFill>
                <pic:spPr>
                  <a:xfrm>
                    <a:off x="0" y="0"/>
                    <a:ext cx="7762875" cy="933877"/>
                  </a:xfrm>
                  <a:prstGeom prst="rect"/>
                  <a:ln/>
                </pic:spPr>
              </pic:pic>
            </a:graphicData>
          </a:graphic>
        </wp:anchor>
      </w:drawing>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ftr>
</file>

<file path=word/footer2.xml><?xml version="1.0" encoding="utf-8"?>
<w:ftr xmlns:w="http://schemas.openxmlformats.org/wordprocessingml/2006/main">
  <w:p>
    <w:pPr>
      <w:pStyle w:val="Footer"/>
      <w:jc w:val="center"/>
    </w:pPr>
    <w:r/>
    <w:r>
      <w:rPr>
        <w:color w:val="8A93A3"/>
        <w:sz w:val="16"/>
      </w:rPr>
      <w:t>ULAP Internal Document — Not for circulation without NEB Board approval</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2">
    <w:pPr>
      <w:tabs>
        <w:tab w:val="center" w:leader="none" w:pos="4680"/>
        <w:tab w:val="right" w:leader="none" w:pos="9360"/>
        <w:tab w:val="right" w:leader="none" w:pos="10184"/>
      </w:tabs>
      <w:spacing w:line="240" w:lineRule="auto"/>
      <w:jc w:val="center"/>
      <w:rPr>
        <w:sz w:val="7"/>
        <w:szCs w:val="7"/>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-1105632</wp:posOffset>
              </wp:positionH>
              <wp:positionV relativeFrom="paragraph">
                <wp:posOffset>-457199</wp:posOffset>
              </wp:positionV>
              <wp:extent cx="8249383" cy="1671638"/>
              <wp:effectExtent b="0" l="0" r="0" t="0"/>
              <wp:wrapSquare wrapText="bothSides" distB="0" distT="0" distL="114300" distR="114300"/>
              <wp:docPr id="1" name=""/>
              <a:graphic>
                <a:graphicData uri="http://schemas.microsoft.com/office/word/2010/wordprocessingGroup">
                  <wpg:wgp>
                    <wpg:cNvGrpSpPr/>
                    <wpg:grpSpPr>
                      <a:xfrm>
                        <a:off x="1414075" y="2974800"/>
                        <a:ext cx="8249383" cy="1671638"/>
                        <a:chOff x="1414075" y="2974800"/>
                        <a:chExt cx="7863850" cy="1610400"/>
                      </a:xfrm>
                    </wpg:grpSpPr>
                    <wpg:grpSp>
                      <wpg:cNvGrpSpPr/>
                      <wpg:grpSpPr>
                        <a:xfrm>
                          <a:off x="1414080" y="2974820"/>
                          <a:ext cx="7863840" cy="1610360"/>
                          <a:chOff x="1414075" y="2974800"/>
                          <a:chExt cx="7863850" cy="1610400"/>
                        </a:xfrm>
                      </wpg:grpSpPr>
                      <wps:wsp>
                        <wps:cNvSpPr/>
                        <wps:cNvPr id="3" name="Shape 3"/>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1414075" y="2974800"/>
                            <a:chExt cx="7863850" cy="1610400"/>
                          </a:xfrm>
                        </wpg:grpSpPr>
                        <wps:wsp>
                          <wps:cNvSpPr/>
                          <wps:cNvPr id="5" name="Shape 5"/>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1414075" y="2974800"/>
                              <a:chExt cx="7863850" cy="1610400"/>
                            </a:xfrm>
                          </wpg:grpSpPr>
                          <wps:wsp>
                            <wps:cNvSpPr/>
                            <wps:cNvPr id="7" name="Shape 7"/>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1414075" y="2974800"/>
                                <a:chExt cx="7863850" cy="1610400"/>
                              </a:xfrm>
                            </wpg:grpSpPr>
                            <wps:wsp>
                              <wps:cNvSpPr/>
                              <wps:cNvPr id="9" name="Shape 9"/>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0" y="0"/>
                                  <a:chExt cx="7863840" cy="1610360"/>
                                </a:xfrm>
                              </wpg:grpSpPr>
                              <wps:wsp>
                                <wps:cNvSpPr/>
                                <wps:cNvPr id="11" name="Shape 11"/>
                                <wps:spPr>
                                  <a:xfrm>
                                    <a:off x="0" y="0"/>
                                    <a:ext cx="7863825" cy="1610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A picture containing icon  Description automatically generated" id="12" name="Shape 12"/>
                                  <pic:cNvPicPr preferRelativeResize="0"/>
                                </pic:nvPicPr>
                                <pic:blipFill rotWithShape="1">
                                  <a:blip r:embed="rId1">
                                    <a:alphaModFix amt="50000"/>
                                  </a:blip>
                                  <a:srcRect b="0" l="0" r="0" t="0"/>
                                  <a:stretch/>
                                </pic:blipFill>
                                <pic:spPr>
                                  <a:xfrm flipH="1">
                                    <a:off x="95250" y="228600"/>
                                    <a:ext cx="7767955" cy="1247775"/>
                                  </a:xfrm>
                                  <a:prstGeom prst="rect">
                                    <a:avLst/>
                                  </a:prstGeom>
                                  <a:noFill/>
                                  <a:ln>
                                    <a:noFill/>
                                  </a:ln>
                                </pic:spPr>
                              </pic:pic>
                              <pic:pic>
                                <pic:nvPicPr>
                                  <pic:cNvPr descr="A picture containing icon  Description automatically generated" id="13" name="Shape 13"/>
                                  <pic:cNvPicPr preferRelativeResize="0"/>
                                </pic:nvPicPr>
                                <pic:blipFill rotWithShape="1">
                                  <a:blip r:embed="rId1">
                                    <a:alphaModFix amt="50000"/>
                                  </a:blip>
                                  <a:srcRect b="0" l="0" r="39356" t="0"/>
                                  <a:stretch/>
                                </pic:blipFill>
                                <pic:spPr>
                                  <a:xfrm>
                                    <a:off x="95250" y="222250"/>
                                    <a:ext cx="4705350" cy="1247775"/>
                                  </a:xfrm>
                                  <a:prstGeom prst="rect">
                                    <a:avLst/>
                                  </a:prstGeom>
                                  <a:noFill/>
                                  <a:ln>
                                    <a:noFill/>
                                  </a:ln>
                                </pic:spPr>
                              </pic:pic>
                              <pic:pic>
                                <pic:nvPicPr>
                                  <pic:cNvPr id="14" name="Shape 14"/>
                                  <pic:cNvPicPr preferRelativeResize="0"/>
                                </pic:nvPicPr>
                                <pic:blipFill rotWithShape="1">
                                  <a:blip r:embed="rId2">
                                    <a:alphaModFix/>
                                  </a:blip>
                                  <a:srcRect b="29036" l="0" r="0" t="2914"/>
                                  <a:stretch/>
                                </pic:blipFill>
                                <pic:spPr>
                                  <a:xfrm>
                                    <a:off x="990600" y="590550"/>
                                    <a:ext cx="5943600" cy="1019810"/>
                                  </a:xfrm>
                                  <a:prstGeom prst="rect">
                                    <a:avLst/>
                                  </a:prstGeom>
                                  <a:noFill/>
                                  <a:ln>
                                    <a:noFill/>
                                  </a:ln>
                                </pic:spPr>
                              </pic:pic>
                              <pic:pic>
                                <pic:nvPicPr>
                                  <pic:cNvPr descr="Background pattern  Description automatically generated" id="15" name="Shape 15"/>
                                  <pic:cNvPicPr preferRelativeResize="0"/>
                                </pic:nvPicPr>
                                <pic:blipFill rotWithShape="1">
                                  <a:blip r:embed="rId3">
                                    <a:alphaModFix/>
                                  </a:blip>
                                  <a:srcRect b="0" l="0" r="0" t="0"/>
                                  <a:stretch/>
                                </pic:blipFill>
                                <pic:spPr>
                                  <a:xfrm>
                                    <a:off x="0" y="0"/>
                                    <a:ext cx="7863840" cy="396875"/>
                                  </a:xfrm>
                                  <a:prstGeom prst="rect">
                                    <a:avLst/>
                                  </a:prstGeom>
                                  <a:noFill/>
                                  <a:ln>
                                    <a:noFill/>
                                  </a:ln>
                                </pic:spPr>
                              </pic:pic>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-1105632</wp:posOffset>
              </wp:positionH>
              <wp:positionV relativeFrom="paragraph">
                <wp:posOffset>-457199</wp:posOffset>
              </wp:positionV>
              <wp:extent cx="8249383" cy="1671638"/>
              <wp:effectExtent b="0" l="0" r="0" t="0"/>
              <wp:wrapSquare wrapText="bothSides" distB="0" distT="0" distL="114300" distR="114300"/>
              <wp:docPr id="1" name="image2.png"/>
              <a:graphic>
                <a:graphicData uri="http://schemas.openxmlformats.org/drawingml/2006/picture">
                  <pic:pic>
                    <pic:nvPicPr>
                      <pic:cNvPr id="0" name="image2.png"/>
                      <pic:cNvPicPr preferRelativeResize="0"/>
                    </pic:nvPicPr>
                    <pic:blipFill>
                      <a:blip r:embed="rId4"/>
                      <a:srcRect/>
                      <a:stretch>
                        <a:fillRect/>
                      </a:stretch>
                    </pic:blipFill>
                    <pic:spPr>
                      <a:xfrm>
                        <a:off x="0" y="0"/>
                        <a:ext cx="8249383" cy="1671638"/>
                      </a:xfrm>
                      <a:prstGeom prst="rect"/>
                      <a:ln/>
                    </pic:spPr>
                  </pic:pic>
                </a:graphicData>
              </a:graphic>
            </wp:anchor>
          </w:drawing>
        </mc:Fallback>
      </mc:AlternateContent>
    </w:r>
  </w:p>
  <w:p w:rsidR="00000000" w:rsidDel="00000000" w:rsidP="00000000" w:rsidRDefault="00000000" w:rsidRPr="00000000" w14:paraId="00000003">
    <w:pPr>
      <w:tabs>
        <w:tab w:val="center" w:leader="none" w:pos="4680"/>
        <w:tab w:val="right" w:leader="none" w:pos="9360"/>
        <w:tab w:val="right" w:leader="none" w:pos="10184"/>
      </w:tabs>
      <w:spacing w:line="240" w:lineRule="auto"/>
      <w:jc w:val="center"/>
      <w:rPr>
        <w:sz w:val="16"/>
        <w:szCs w:val="16"/>
      </w:rPr>
    </w:pPr>
    <w:r w:rsidDel="00000000" w:rsidR="00000000" w:rsidRPr="00000000">
      <w:rPr>
        <w:sz w:val="16"/>
        <w:szCs w:val="16"/>
        <w:rtl w:val="0"/>
      </w:rPr>
      <w:t xml:space="preserve">28F Unit 2803 Summit One Tower 530 Shaw Boulevard, Mandaluyong City</w:t>
    </w:r>
  </w:p>
  <w:p w:rsidR="00000000" w:rsidDel="00000000" w:rsidP="00000000" w:rsidRDefault="00000000" w:rsidRPr="00000000" w14:paraId="00000004">
    <w:pPr>
      <w:tabs>
        <w:tab w:val="center" w:leader="none" w:pos="4680"/>
        <w:tab w:val="right" w:leader="none" w:pos="9360"/>
      </w:tabs>
      <w:spacing w:line="240" w:lineRule="auto"/>
      <w:jc w:val="center"/>
      <w:rPr>
        <w:sz w:val="16"/>
        <w:szCs w:val="16"/>
      </w:rPr>
    </w:pPr>
    <w:r w:rsidDel="00000000" w:rsidR="00000000" w:rsidRPr="00000000">
      <w:rPr>
        <w:b w:val="1"/>
        <w:bCs w:val="1"/>
        <w:sz w:val="16"/>
        <w:szCs w:val="16"/>
        <w:rtl w:val="0"/>
      </w:rPr>
      <w:t xml:space="preserve">Phone: </w:t>
    </w:r>
    <w:r w:rsidDel="00000000" w:rsidR="00000000" w:rsidRPr="00000000">
      <w:rPr>
        <w:sz w:val="16"/>
        <w:szCs w:val="16"/>
        <w:rtl w:val="0"/>
      </w:rPr>
      <w:t xml:space="preserve">(+63) 9189856659 </w:t>
    </w:r>
    <w:r w:rsidDel="00000000" w:rsidR="00000000" w:rsidRPr="00000000">
      <w:rPr>
        <w:b w:val="1"/>
        <w:bCs w:val="1"/>
        <w:sz w:val="16"/>
        <w:szCs w:val="16"/>
        <w:rtl w:val="0"/>
      </w:rPr>
      <w:t xml:space="preserve">E-Mail:</w:t>
    </w:r>
    <w:r w:rsidDel="00000000" w:rsidR="00000000" w:rsidRPr="00000000">
      <w:rPr>
        <w:sz w:val="16"/>
        <w:szCs w:val="16"/>
        <w:rtl w:val="0"/>
      </w:rPr>
      <w:t xml:space="preserve"> </w:t>
    </w:r>
    <w:hyperlink r:id="rId5">
      <w:r w:rsidDel="00000000" w:rsidR="00000000" w:rsidRPr="00000000">
        <w:rPr>
          <w:color w:val="0563c1"/>
          <w:sz w:val="16"/>
          <w:szCs w:val="16"/>
          <w:u w:val="single"/>
          <w:rtl w:val="0"/>
        </w:rPr>
        <w:t xml:space="preserve">ulapnatsec@gmail.com</w:t>
      </w:r>
    </w:hyperlink>
    <w:r w:rsidDel="00000000" w:rsidR="00000000" w:rsidRPr="00000000">
      <w:rPr>
        <w:sz w:val="16"/>
        <w:szCs w:val="16"/>
        <w:rtl w:val="0"/>
      </w:rPr>
      <w:t xml:space="preserve">, </w:t>
    </w:r>
    <w:hyperlink r:id="rId6">
      <w:r w:rsidDel="00000000" w:rsidR="00000000" w:rsidRPr="00000000">
        <w:rPr>
          <w:color w:val="0563c1"/>
          <w:sz w:val="16"/>
          <w:szCs w:val="16"/>
          <w:u w:val="single"/>
          <w:rtl w:val="0"/>
        </w:rPr>
        <w:t xml:space="preserve">secretariat@ulap.net.ph</w:t>
      </w:r>
    </w:hyperlink>
    <w:r w:rsidDel="00000000" w:rsidR="00000000" w:rsidRPr="00000000">
      <w:rPr>
        <w:rtl w:val="0"/>
      </w:rPr>
    </w:r>
  </w:p>
  <w:p w:rsidR="00000000" w:rsidDel="00000000" w:rsidP="00000000" w:rsidRDefault="00000000" w:rsidRPr="00000000" w14:paraId="00000005">
    <w:pPr>
      <w:tabs>
        <w:tab w:val="center" w:leader="none" w:pos="4680"/>
        <w:tab w:val="right" w:leader="none" w:pos="9360"/>
      </w:tabs>
      <w:spacing w:line="240" w:lineRule="auto"/>
      <w:jc w:val="center"/>
      <w:rPr>
        <w:sz w:val="16"/>
        <w:szCs w:val="16"/>
      </w:rPr>
    </w:pPr>
    <w:r w:rsidDel="00000000" w:rsidR="00000000" w:rsidRPr="00000000">
      <w:rPr>
        <w:b w:val="1"/>
        <w:bCs w:val="1"/>
        <w:sz w:val="16"/>
        <w:szCs w:val="16"/>
        <w:rtl w:val="0"/>
      </w:rPr>
      <w:t xml:space="preserve">Website:</w:t>
    </w:r>
    <w:r w:rsidDel="00000000" w:rsidR="00000000" w:rsidRPr="00000000">
      <w:rPr>
        <w:sz w:val="16"/>
        <w:szCs w:val="16"/>
        <w:rtl w:val="0"/>
      </w:rPr>
      <w:t xml:space="preserve"> </w:t>
    </w:r>
    <w:hyperlink r:id="rId7">
      <w:r w:rsidDel="00000000" w:rsidR="00000000" w:rsidRPr="00000000">
        <w:rPr>
          <w:color w:val="0563c1"/>
          <w:sz w:val="16"/>
          <w:szCs w:val="16"/>
          <w:u w:val="single"/>
          <w:rtl w:val="0"/>
        </w:rPr>
        <w:t xml:space="preserve">www.ulap.net.ph</w:t>
      </w:r>
    </w:hyperlink>
    <w:r w:rsidDel="00000000" w:rsidR="00000000" w:rsidRPr="00000000">
      <w:rPr>
        <w:sz w:val="16"/>
        <w:szCs w:val="16"/>
        <w:rtl w:val="0"/>
      </w:rPr>
      <w:t xml:space="preserve"> </w:t>
    </w:r>
    <w:r w:rsidDel="00000000" w:rsidR="00000000" w:rsidRPr="00000000">
      <w:rPr>
        <w:b w:val="1"/>
        <w:bCs w:val="1"/>
        <w:sz w:val="16"/>
        <w:szCs w:val="16"/>
        <w:rtl w:val="0"/>
      </w:rPr>
      <w:t xml:space="preserve">Facebook:</w:t>
    </w:r>
    <w:r w:rsidDel="00000000" w:rsidR="00000000" w:rsidRPr="00000000">
      <w:rPr>
        <w:sz w:val="16"/>
        <w:szCs w:val="16"/>
        <w:rtl w:val="0"/>
      </w:rPr>
      <w:t xml:space="preserve"> </w:t>
    </w:r>
    <w:hyperlink r:id="rId8">
      <w:r w:rsidDel="00000000" w:rsidR="00000000" w:rsidRPr="00000000">
        <w:rPr>
          <w:color w:val="0563c1"/>
          <w:sz w:val="16"/>
          <w:szCs w:val="16"/>
          <w:u w:val="single"/>
          <w:rtl w:val="0"/>
        </w:rPr>
        <w:t xml:space="preserve">www.facebook.com/ulap.net.ph</w:t>
      </w:r>
    </w:hyperlink>
    <w:r w:rsidDel="00000000" w:rsidR="00000000" w:rsidRPr="00000000">
      <w:rPr>
        <w:sz w:val="16"/>
        <w:szCs w:val="16"/>
        <w:rtl w:val="0"/>
      </w:rPr>
      <w:t xml:space="preserve"> </w:t>
    </w:r>
  </w:p>
  <w:p w:rsidR="00000000" w:rsidDel="00000000" w:rsidP="00000000" w:rsidRDefault="00000000" w:rsidRPr="00000000" w14:paraId="00000006">
    <w:pPr>
      <w:pBdr>
        <w:bottom w:color="000000" w:space="1" w:sz="6" w:val="single"/>
      </w:pBdr>
      <w:tabs>
        <w:tab w:val="center" w:leader="none" w:pos="4680"/>
        <w:tab w:val="right" w:leader="none" w:pos="9360"/>
      </w:tabs>
      <w:spacing w:line="240" w:lineRule="auto"/>
      <w:ind w:left="-1134" w:right="-1097" w:firstLine="0"/>
      <w:rPr>
        <w:b w:val="1"/>
        <w:bCs w:val="1"/>
        <w:color w:val="002060"/>
        <w:sz w:val="15"/>
        <w:szCs w:val="15"/>
      </w:rPr>
    </w:pPr>
    <w:r w:rsidDel="00000000" w:rsidR="00000000" w:rsidRPr="00000000">
      <w:rPr>
        <w:rtl w:val="0"/>
      </w:rPr>
    </w:r>
  </w:p>
  <w:p w:rsidR="00000000" w:rsidDel="00000000" w:rsidP="00000000" w:rsidRDefault="00000000" w:rsidRPr="00000000" w14:paraId="00000007">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hdr>
</file>

<file path=word/header2.xml><?xml version="1.0" encoding="utf-8"?>
<w:hdr xmlns:w="http://schemas.openxmlformats.org/wordprocessingml/2006/main">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 Id="rId3" Type="http://schemas.openxmlformats.org/officeDocument/2006/relationships/image" Target="media/image5.jpg"/><Relationship Id="rId4" Type="http://schemas.openxmlformats.org/officeDocument/2006/relationships/image" Target="media/image2.png"/><Relationship Id="rId5" Type="http://schemas.openxmlformats.org/officeDocument/2006/relationships/hyperlink" Target="about:blank" TargetMode="External"/><Relationship Id="rId6" Type="http://schemas.openxmlformats.org/officeDocument/2006/relationships/hyperlink" Target="about:blank" TargetMode="External"/><Relationship Id="rId7" Type="http://schemas.openxmlformats.org/officeDocument/2006/relationships/hyperlink" Target="about:blank" TargetMode="External"/><Relationship Id="rId8" Type="http://schemas.openxmlformats.org/officeDocument/2006/relationships/hyperlink" Target="about:bl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