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MASUSTANSYANG PAGKAIN ACT AMENDMENTS</w:t>
      </w:r>
    </w:p>
    <w:p>
      <w:pPr>
        <w:spacing w:before="40" w:after="200" w:line="264" w:lineRule="auto"/>
        <w:jc w:val="center"/>
      </w:pPr>
      <w:r>
        <w:rPr>
          <w:rFonts w:ascii="Arial" w:hAnsi="Arial" w:cs="Arial"/>
          <w:b/>
          <w:bCs/>
          <w:sz w:val="24"/>
          <w:szCs w:val="24"/>
        </w:rPr>
        <w:t xml:space="preserve">(MEASURES EXPANDING SCHOOL-BASED FEEDING AND NUTRITION SUPPORT UNDER RA 11037)</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 units and local officials, supports amendments that strengthen school-based and community-linked feeding programs, improve nutrition outcomes among children and adolescents, and connect national feeding funds with local agriculture, health, education, and social welfare systems.</w:t>
      </w:r>
    </w:p>
    <w:p>
      <w:pPr>
        <w:spacing w:before="0" w:after="140" w:line="264" w:lineRule="auto"/>
        <w:jc w:val="both"/>
      </w:pPr>
      <w:r>
        <w:rPr>
          <w:rFonts w:ascii="Arial" w:hAnsi="Arial" w:cs="Arial"/>
          <w:sz w:val="20"/>
          <w:szCs w:val="20"/>
        </w:rPr>
        <w:t xml:space="preserve">Malnutrition affects school readiness, attendance, learning, productivity, household welfare, and the future local workforce. Current nutrition and school-feeding data justify a stronger statutory framework. The program is national in policy but local in delivery: food must be procured, stored, transported, prepared, served, monitored, and reported in specific schools and communities under actual field constraints.</w:t>
      </w:r>
    </w:p>
    <w:p>
      <w:pPr>
        <w:spacing w:before="0" w:after="140" w:line="264" w:lineRule="auto"/>
        <w:jc w:val="both"/>
      </w:pPr>
      <w:r>
        <w:rPr>
          <w:rFonts w:ascii="Arial" w:hAnsi="Arial" w:cs="Arial"/>
          <w:sz w:val="20"/>
          <w:szCs w:val="20"/>
        </w:rPr>
        <w:t xml:space="preserve">ULAP's ongoing work with DepEd and school-meals partners confirms three operational lessons. Feeding is a supply-chain, health, and education intervention, not simple meal procurement. LGUs can improve implementation through local agriculture, nutrition, health, and logistics systems, but they cannot be treated as a reserve budget for a national entitlement. And local sourcing is desirable only when food safety, price reasonableness, availability, and continuity are protected.</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Congress may prudently extend feeding to the full school year and broaden coverage beyond the original RA 11037 model.</w:t>
      </w:r>
    </w:p>
    <w:p>
      <w:pPr>
        <w:spacing w:before="0" w:after="140" w:line="264" w:lineRule="auto"/>
        <w:jc w:val="both"/>
      </w:pPr>
      <w:r>
        <w:rPr>
          <w:rFonts w:ascii="Arial" w:hAnsi="Arial" w:cs="Arial"/>
          <w:sz w:val="20"/>
          <w:szCs w:val="20"/>
        </w:rPr>
        <w:t xml:space="preserve">Expansion should be paired with an honest statutory treatment of cost, logistics, storage, food safety, staffing, and implementation support. The law should affirm expansion as a national commitment and avoid devolving it by implication to local budgets.</w:t>
      </w:r>
    </w:p>
    <w:p>
      <w:pPr>
        <w:keepNext/>
        <w:spacing w:before="180" w:after="90" w:line="264" w:lineRule="auto"/>
        <w:jc w:val="both"/>
      </w:pPr>
      <w:r>
        <w:rPr>
          <w:rFonts w:ascii="Arial" w:hAnsi="Arial" w:cs="Arial"/>
          <w:b/>
          <w:bCs/>
          <w:sz w:val="20"/>
          <w:szCs w:val="20"/>
        </w:rPr>
        <w:t xml:space="preserve">2. Adopt a national financing model for the core costs of the program.</w:t>
      </w:r>
    </w:p>
    <w:p>
      <w:pPr>
        <w:spacing w:before="0" w:after="140" w:line="264" w:lineRule="auto"/>
        <w:jc w:val="both"/>
      </w:pPr>
      <w:r>
        <w:rPr>
          <w:rFonts w:ascii="Arial" w:hAnsi="Arial" w:cs="Arial"/>
          <w:sz w:val="20"/>
          <w:szCs w:val="20"/>
        </w:rPr>
        <w:t xml:space="preserve">Food and milk inputs, logistics, storage, kitchen and preparation requirements, food-safety measures, monitoring systems, and other essential implementation costs should rest on a dependable national funding framework. LGUs may remain key implementation and counterpart partners, but they should not become the residual financier of broader statutory obligations designed at the national level.</w:t>
      </w:r>
    </w:p>
    <w:p>
      <w:pPr>
        <w:keepNext/>
        <w:spacing w:before="180" w:after="90" w:line="264" w:lineRule="auto"/>
        <w:jc w:val="both"/>
      </w:pPr>
      <w:r>
        <w:rPr>
          <w:rFonts w:ascii="Arial" w:hAnsi="Arial" w:cs="Arial"/>
          <w:b/>
          <w:bCs/>
          <w:sz w:val="20"/>
          <w:szCs w:val="20"/>
        </w:rPr>
        <w:t xml:space="preserve">3. Pair broader beneficiary coverage with phased implementation.</w:t>
      </w:r>
    </w:p>
    <w:p>
      <w:pPr>
        <w:spacing w:before="0" w:after="140" w:line="264" w:lineRule="auto"/>
        <w:jc w:val="both"/>
      </w:pPr>
      <w:r>
        <w:rPr>
          <w:rFonts w:ascii="Arial" w:hAnsi="Arial" w:cs="Arial"/>
          <w:sz w:val="20"/>
          <w:szCs w:val="20"/>
        </w:rPr>
        <w:t xml:space="preserve">Phasing should be tied to appropriations, delivery readiness, and a transparent prioritization framework. Universal early-grade feeding may be justified for the earliest grade levels, while targeted coverage can continue for wasted, severely wasted, nutritionally at-risk, vulnerable, and special-risk learners in higher levels until fiscal and logistical capacity permits wider inclusion.</w:t>
      </w:r>
    </w:p>
    <w:p>
      <w:pPr>
        <w:keepNext/>
        <w:spacing w:before="180" w:after="90" w:line="264" w:lineRule="auto"/>
        <w:jc w:val="both"/>
      </w:pPr>
      <w:r>
        <w:rPr>
          <w:rFonts w:ascii="Arial" w:hAnsi="Arial" w:cs="Arial"/>
          <w:b/>
          <w:bCs/>
          <w:sz w:val="20"/>
          <w:szCs w:val="20"/>
        </w:rPr>
        <w:t xml:space="preserve">4. Identify institutional accountability clearly.</w:t>
      </w:r>
    </w:p>
    <w:p>
      <w:pPr>
        <w:spacing w:before="0" w:after="140" w:line="264" w:lineRule="auto"/>
        <w:jc w:val="both"/>
      </w:pPr>
      <w:r>
        <w:rPr>
          <w:rFonts w:ascii="Arial" w:hAnsi="Arial" w:cs="Arial"/>
          <w:sz w:val="20"/>
          <w:szCs w:val="20"/>
        </w:rPr>
        <w:t xml:space="preserve">DepEd should remain the lead implementing agency for school-based feeding in public schools, and DSWD should remain the lead for day care and child development center feeding. DOH and the National Nutrition Council should set nutrition and referral standards, while DA and the relevant dairy and supply-chain institutions should support local producer integration. LGUs should be recognized as implementing partners through clear mechanisms, and not used as substitutes for national agency responsibility.</w:t>
      </w:r>
    </w:p>
    <w:p>
      <w:pPr>
        <w:keepNext/>
        <w:spacing w:before="180" w:after="90" w:line="264" w:lineRule="auto"/>
        <w:jc w:val="both"/>
      </w:pPr>
      <w:r>
        <w:rPr>
          <w:rFonts w:ascii="Arial" w:hAnsi="Arial" w:cs="Arial"/>
          <w:b/>
          <w:bCs/>
          <w:sz w:val="20"/>
          <w:szCs w:val="20"/>
        </w:rPr>
        <w:t xml:space="preserve">5. Strengthen linkage between feeding programs and local farmers, fisherfolk, cooperatives, and MSMEs.</w:t>
      </w:r>
    </w:p>
    <w:p>
      <w:pPr>
        <w:spacing w:before="0" w:after="140" w:line="264" w:lineRule="auto"/>
        <w:jc w:val="both"/>
      </w:pPr>
      <w:r>
        <w:rPr>
          <w:rFonts w:ascii="Arial" w:hAnsi="Arial" w:cs="Arial"/>
          <w:sz w:val="20"/>
          <w:szCs w:val="20"/>
        </w:rPr>
        <w:t xml:space="preserve">ULAP supports this linkage but urges the law to avoid rigid national sourcing quotas that may be unworkable in disaster-affected or low-capacity areas. A strong local procurement preference should be made subject to availability, quality, safety, price reasonableness, and delivery capacity, with lawful fallback procurement where local supply cannot meet program requirements.</w:t>
      </w:r>
    </w:p>
    <w:p>
      <w:pPr>
        <w:keepNext/>
        <w:spacing w:before="180" w:after="90" w:line="264" w:lineRule="auto"/>
        <w:jc w:val="both"/>
      </w:pPr>
      <w:r>
        <w:rPr>
          <w:rFonts w:ascii="Arial" w:hAnsi="Arial" w:cs="Arial"/>
          <w:b/>
          <w:bCs/>
          <w:sz w:val="20"/>
          <w:szCs w:val="20"/>
        </w:rPr>
        <w:t xml:space="preserve">6. Treat food safety as a statutory floor, and build implementation support into the law.</w:t>
      </w:r>
    </w:p>
    <w:p>
      <w:pPr>
        <w:spacing w:before="0" w:after="140" w:line="264" w:lineRule="auto"/>
        <w:jc w:val="both"/>
      </w:pPr>
      <w:r>
        <w:rPr>
          <w:rFonts w:ascii="Arial" w:hAnsi="Arial" w:cs="Arial"/>
          <w:sz w:val="20"/>
          <w:szCs w:val="20"/>
        </w:rPr>
        <w:t xml:space="preserve">Expanded feeding should require compliance with nutrition standards, safe-handling protocols, clean water, sanitation, allergen safeguards, and clear accountability rules. The law should also provide templates, planning lead time, logistics and storage support, technical assistance, and measures that reduce the non-teaching burden on schools.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strengthening of RA 11037 and is prepared to support full-school-year feeding and broader coverage, within a statute that is honest about cost, clear about institutional responsibility, and realistic about field conditions. A stronger law should improve nutrition outcomes while protecting LGU fiscal space and implementation feasibility.</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