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left"/>
      </w:pPr>
      <w:r>
        <w:rPr>
          <w:b/>
          <w:color w:val="B23B3B"/>
          <w:sz w:val="22"/>
        </w:rPr>
        <w:t>CONFIDENTIAL — ULAP INTERNAL WORKING DRAFT</w:t>
      </w:r>
    </w:p>
    <w:p>
      <w:pPr>
        <w:jc w:val="left"/>
      </w:pPr>
      <w:r>
        <w:rPr>
          <w:i/>
          <w:color w:val="5A6473"/>
          <w:sz w:val="18"/>
        </w:rPr>
        <w:t>This is an internal working draft of the Union of Local Authorities of the Philippines (ULAP) National Executive Board. It must not be circulated, published, or forwarded outside ULAP without prior approval of the ULAP National Executive Board.</w:t>
      </w:r>
    </w:p>
    <w:p/>
    <w:p>
      <w:pPr>
        <w:spacing w:before="0" w:after="0" w:line="1980" w:lineRule="exact"/>
        <w:jc w:val="left"/>
      </w:pPr>
    </w:p>
    <w:p>
      <w:pPr>
        <w:spacing w:before="0" w:after="40" w:line="264" w:lineRule="auto"/>
        <w:jc w:val="center"/>
      </w:pPr>
      <w:r>
        <w:rPr>
          <w:rFonts w:ascii="Arial" w:hAnsi="Arial" w:cs="Arial"/>
          <w:b/>
          <w:bCs/>
          <w:sz w:val="24"/>
          <w:szCs w:val="24"/>
        </w:rPr>
        <w:t xml:space="preserve">POSITION PAPER ON THE PTCA SUBSTITUTE BILL</w:t>
      </w:r>
    </w:p>
    <w:p>
      <w:pPr>
        <w:spacing w:before="40" w:after="200" w:line="264" w:lineRule="auto"/>
        <w:jc w:val="center"/>
      </w:pPr>
      <w:r>
        <w:rPr>
          <w:rFonts w:ascii="Arial" w:hAnsi="Arial" w:cs="Arial"/>
          <w:b/>
          <w:bCs/>
          <w:sz w:val="24"/>
          <w:szCs w:val="24"/>
        </w:rPr>
        <w:t xml:space="preserve">AND THE MAGNA CARTA OF CHILDREN MEASURES</w:t>
      </w:r>
    </w:p>
    <w:p>
      <w:pPr>
        <w:spacing w:before="0" w:after="140" w:line="264" w:lineRule="auto"/>
        <w:jc w:val="both"/>
      </w:pPr>
      <w:r>
        <w:rPr>
          <w:rFonts w:ascii="Arial" w:hAnsi="Arial" w:cs="Arial"/>
          <w:sz w:val="20"/>
          <w:szCs w:val="20"/>
        </w:rPr>
        <w:t xml:space="preserve">The Union of Local Authorities of the Philippines (ULAP), as the umbrella organization of local government units (LGUs) and their leagues, supports the objective of strengthening child welfare, child protection, and constructive family-school-community participation. ULAP welcomes the opportunity to give Congress timely LGU perspectives on the Parent-Teacher and Community Associations (PTCA) substitute bill and the pending Magna Carta of Children (MCC) measures scheduled for committee discussion on 11 May 2026.</w:t>
      </w:r>
    </w:p>
    <w:p>
      <w:pPr>
        <w:spacing w:before="0" w:after="140" w:line="264" w:lineRule="auto"/>
        <w:jc w:val="both"/>
      </w:pPr>
      <w:r>
        <w:rPr>
          <w:rFonts w:ascii="Arial" w:hAnsi="Arial" w:cs="Arial"/>
          <w:sz w:val="20"/>
          <w:szCs w:val="20"/>
        </w:rPr>
        <w:t xml:space="preserve">ULAP supports the direction of the accessible PTCA substitute bill and is open to the child-rights objectives of the MCC measures, subject to safeguards on institutional clarity, local implementation, and funding. Any final measure should preserve the lawful authority of school heads and the Department of Education, avoid unfunded mandates on LGUs, and ensure that local child-protection and development bodies are complemented rather than duplicated.</w:t>
      </w:r>
    </w:p>
    <w:p>
      <w:pPr>
        <w:keepNext/>
        <w:spacing w:before="220" w:after="100" w:line="264" w:lineRule="auto"/>
        <w:jc w:val="left"/>
      </w:pPr>
      <w:r>
        <w:rPr>
          <w:rFonts w:ascii="Arial" w:hAnsi="Arial" w:cs="Arial"/>
          <w:b/>
          <w:bCs/>
          <w:sz w:val="20"/>
          <w:szCs w:val="20"/>
        </w:rPr>
        <w:t xml:space="preserve">Key Comments</w:t>
      </w:r>
    </w:p>
    <w:p>
      <w:pPr>
        <w:keepNext/>
        <w:spacing w:before="180" w:after="90" w:line="264" w:lineRule="auto"/>
        <w:jc w:val="both"/>
      </w:pPr>
      <w:r>
        <w:rPr>
          <w:rFonts w:ascii="Arial" w:hAnsi="Arial" w:cs="Arial"/>
          <w:b/>
          <w:bCs/>
          <w:sz w:val="20"/>
          <w:szCs w:val="20"/>
        </w:rPr>
        <w:t xml:space="preserve">1. The PTCA should remain consultative, supportive, and participatory in character.</w:t>
      </w:r>
    </w:p>
    <w:p>
      <w:pPr>
        <w:spacing w:before="0" w:after="140" w:line="264" w:lineRule="auto"/>
        <w:jc w:val="both"/>
      </w:pPr>
      <w:r>
        <w:rPr>
          <w:rFonts w:ascii="Arial" w:hAnsi="Arial" w:cs="Arial"/>
          <w:sz w:val="20"/>
          <w:szCs w:val="20"/>
        </w:rPr>
        <w:t xml:space="preserve">ULAP strongly supports the substitute bill language stating that the PTCA serves in a consultative, supportive, and participatory capacity only and does not exercise powers vested in DepEd, school heads, or other legally constituted authorities. This is a sound safeguard. It preserves accountability in school governance while still allowing parents and communities to contribute meaningfully to child welfare and school improvement.</w:t>
      </w:r>
    </w:p>
    <w:p>
      <w:pPr>
        <w:keepNext/>
        <w:spacing w:before="180" w:after="90" w:line="264" w:lineRule="auto"/>
        <w:jc w:val="both"/>
      </w:pPr>
      <w:r>
        <w:rPr>
          <w:rFonts w:ascii="Arial" w:hAnsi="Arial" w:cs="Arial"/>
          <w:b/>
          <w:bCs/>
          <w:sz w:val="20"/>
          <w:szCs w:val="20"/>
        </w:rPr>
        <w:t xml:space="preserve">2. The protection against compulsory fees and adverse consequences should be retained.</w:t>
      </w:r>
    </w:p>
    <w:p>
      <w:pPr>
        <w:spacing w:before="0" w:after="140" w:line="264" w:lineRule="auto"/>
        <w:jc w:val="both"/>
      </w:pPr>
      <w:r>
        <w:rPr>
          <w:rFonts w:ascii="Arial" w:hAnsi="Arial" w:cs="Arial"/>
          <w:sz w:val="20"/>
          <w:szCs w:val="20"/>
        </w:rPr>
        <w:t xml:space="preserve">ULAP also supports the provision that no fee shall be required and that no student shall be denied any right because of a parent's non-membership or non-payment. This matters most for low-income households and for geographically isolated communities, where participation should be encouraged without turning the PTCA into a financial gatekeeper. Trust, transparency, and clearly defined voluntary mechanisms strengthen parent participation more reliably than mandatory collections.</w:t>
      </w:r>
    </w:p>
    <w:p>
      <w:pPr>
        <w:keepNext/>
        <w:spacing w:before="180" w:after="90" w:line="264" w:lineRule="auto"/>
        <w:jc w:val="both"/>
      </w:pPr>
      <w:r>
        <w:rPr>
          <w:rFonts w:ascii="Arial" w:hAnsi="Arial" w:cs="Arial"/>
          <w:b/>
          <w:bCs/>
          <w:sz w:val="20"/>
          <w:szCs w:val="20"/>
        </w:rPr>
        <w:t xml:space="preserve">3. Coordination with LGUs and child-protection bodies should be clear and non-duplicative.</w:t>
      </w:r>
    </w:p>
    <w:p>
      <w:pPr>
        <w:spacing w:before="0" w:after="140" w:line="264" w:lineRule="auto"/>
        <w:jc w:val="both"/>
      </w:pPr>
      <w:r>
        <w:rPr>
          <w:rFonts w:ascii="Arial" w:hAnsi="Arial" w:cs="Arial"/>
          <w:sz w:val="20"/>
          <w:szCs w:val="20"/>
        </w:rPr>
        <w:t xml:space="preserve">The substitute bill properly encourages coordination with BCPCs, LCPCs, LGUs, and other agencies. The final law should make clear that such coordination is complementary to existing local child-protection and education mechanisms, including local school boards, local development planning, and existing child-protection structures. It should avoid creating overlapping reporting, attendance, or program-management expectations without clarifying which body leads, which body supports, and how responsibilities are funded.</w:t>
      </w:r>
    </w:p>
    <w:p>
      <w:pPr>
        <w:keepNext/>
        <w:spacing w:before="180" w:after="90" w:line="264" w:lineRule="auto"/>
        <w:jc w:val="both"/>
      </w:pPr>
      <w:r>
        <w:rPr>
          <w:rFonts w:ascii="Arial" w:hAnsi="Arial" w:cs="Arial"/>
          <w:b/>
          <w:bCs/>
          <w:sz w:val="20"/>
          <w:szCs w:val="20"/>
        </w:rPr>
        <w:t xml:space="preserve">4. Any new local obligations under the PTCA or MCC measures should be matched by national guidance and support.</w:t>
      </w:r>
    </w:p>
    <w:p>
      <w:pPr>
        <w:spacing w:before="0" w:after="140" w:line="264" w:lineRule="auto"/>
        <w:jc w:val="both"/>
      </w:pPr>
      <w:r>
        <w:rPr>
          <w:rFonts w:ascii="Arial" w:hAnsi="Arial" w:cs="Arial"/>
          <w:sz w:val="20"/>
          <w:szCs w:val="20"/>
        </w:rPr>
        <w:t xml:space="preserve">LGUs differ widely in staffing, social-service capacity, school support arrangements, and access to technical assistance. If Congress expects local governments to support new child-focused planning, referrals, data sharing, community engagement, or program coordination, the law should carry clear implementing guidelines, national training, model protocols, and realistic resource support. Child-rights legislation works best where it strengthens local systems rather than simply assigning them additional duties.</w:t>
      </w:r>
    </w:p>
    <w:p>
      <w:pPr>
        <w:keepNext/>
        <w:spacing w:before="180" w:after="90" w:line="264" w:lineRule="auto"/>
        <w:jc w:val="both"/>
      </w:pPr>
      <w:r>
        <w:rPr>
          <w:rFonts w:ascii="Arial" w:hAnsi="Arial" w:cs="Arial"/>
          <w:b/>
          <w:bCs/>
          <w:sz w:val="20"/>
          <w:szCs w:val="20"/>
        </w:rPr>
        <w:t xml:space="preserve">5. The MCC measures should define minimum service commitments and agency roles with precision.</w:t>
      </w:r>
    </w:p>
    <w:p>
      <w:pPr>
        <w:spacing w:before="0" w:after="140" w:line="264" w:lineRule="auto"/>
        <w:jc w:val="both"/>
      </w:pPr>
      <w:r>
        <w:rPr>
          <w:rFonts w:ascii="Arial" w:hAnsi="Arial" w:cs="Arial"/>
          <w:sz w:val="20"/>
          <w:szCs w:val="20"/>
        </w:rPr>
        <w:t xml:space="preserve">Because the MCC bill texts were attached only as a ZIP archive and were not machine-readable in the current run, ULAP's comments on those measures are necessarily principle-based at this stage. ULAP recommends that any Magna Carta of Children measure clearly identify which commitments are nationally funded entitlements, which functions are expected from LGUs, what data and privacy safeguards apply, and how coordination will occur among DSWD, DepEd, DOH, DILG, LGUs, and local child-protection structures. Broad policy declarations carry value only when they translate into implementable obligations with clear lead agencies and realistic local compliance pathways.</w:t>
      </w:r>
    </w:p>
    <w:p>
      <w:pPr>
        <w:keepNext/>
        <w:spacing w:before="180" w:after="90" w:line="264" w:lineRule="auto"/>
        <w:jc w:val="both"/>
      </w:pPr>
      <w:r>
        <w:rPr>
          <w:rFonts w:ascii="Arial" w:hAnsi="Arial" w:cs="Arial"/>
          <w:b/>
          <w:bCs/>
          <w:sz w:val="20"/>
          <w:szCs w:val="20"/>
        </w:rPr>
        <w:t xml:space="preserve">6. Child participation and child protection should be operationalized in age-appropriate and privacy-protective ways.</w:t>
      </w:r>
    </w:p>
    <w:p>
      <w:pPr>
        <w:spacing w:before="0" w:after="140" w:line="264" w:lineRule="auto"/>
        <w:jc w:val="both"/>
      </w:pPr>
      <w:r>
        <w:rPr>
          <w:rFonts w:ascii="Arial" w:hAnsi="Arial" w:cs="Arial"/>
          <w:sz w:val="20"/>
          <w:szCs w:val="20"/>
        </w:rPr>
        <w:t xml:space="preserve">ULAP supports meaningful child participation and stronger child protection. The law should ensure that consultation with children is age-appropriate, safe, and consistent with privacy and protection standards. It should also avoid turning school and local mechanisms into duplicative complaint channels without clear referral rules, confidentiality standards, and links to existing protection systems.</w:t>
      </w:r>
    </w:p>
    <w:p>
      <w:pPr>
        <w:spacing w:before="160" w:after="160" w:line="264" w:lineRule="auto"/>
        <w:jc w:val="center"/>
      </w:pPr>
      <w:r>
        <w:rPr>
          <w:rFonts w:ascii="Arial" w:hAnsi="Arial" w:cs="Arial"/>
          <w:b/>
          <w:bCs/>
          <w:i/>
          <w:iCs/>
          <w:sz w:val="22"/>
          <w:szCs w:val="22"/>
        </w:rPr>
        <w:t xml:space="preserve"> </w:t>
      </w:r>
      <w:r>
        <w:rPr>
          <w:rFonts w:ascii="Arial" w:hAnsi="Arial" w:cs="Arial"/>
          <w:b/>
          <w:bCs/>
          <w:sz w:val="22"/>
          <w:szCs w:val="22"/>
        </w:rPr>
        <w:t xml:space="preserve"> *</w:t>
      </w:r>
    </w:p>
    <w:p>
      <w:pPr>
        <w:spacing w:before="0" w:after="140" w:line="264" w:lineRule="auto"/>
        <w:jc w:val="both"/>
      </w:pPr>
      <w:r>
        <w:rPr>
          <w:rFonts w:ascii="Arial" w:hAnsi="Arial" w:cs="Arial"/>
          <w:sz w:val="20"/>
          <w:szCs w:val="20"/>
        </w:rPr>
        <w:t xml:space="preserve">ULAP supports the accessible PTCA substitute bill and the broader objective of the pending Magna Carta of Children measures, subject to the foregoing safeguards. Congress can strengthen the package further by preserving school-governance clarity, protecting families from compulsory PTCA burdens, clarifying the complementary role of LGUs and local child-protection bodies, and ensuring that any additional local obligations are matched by national guidance, funding, and implementable coordination rules.</w:t>
      </w:r>
    </w:p>
    <w:sectPr>
      <w:headerReference r:id="rId6" w:type="first"/>
      <w:footerReference r:id="rId7" w:type="first"/>
      <w:headerReference r:id="rId8" w:type="default"/>
      <w:footerReference r:id="rId9" w:type="default"/>
      <w:pgSz w:h="16838" w:w="11906" w:orient="portrait"/>
      <w:pgMar w:bottom="2160" w:top="1440" w:left="1440" w:right="1440" w:header="720" w:footer="576"/>
      <w:pgNumType w:start="1"/>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-962024</wp:posOffset>
          </wp:positionH>
          <wp:positionV relativeFrom="paragraph">
            <wp:posOffset>205787</wp:posOffset>
          </wp:positionV>
          <wp:extent cx="7762875" cy="933877"/>
          <wp:effectExtent b="0" l="0" r="0" t="0"/>
          <wp:wrapNone/>
          <wp:docPr id="2" name="image1.png"/>
          <a:graphic>
            <a:graphicData uri="http://schemas.openxmlformats.org/drawingml/2006/picture">
              <pic:pic>
                <pic:nvPicPr>
                  <pic:cNvPr id="0" name="image1.png"/>
                  <pic:cNvPicPr preferRelativeResize="0"/>
                </pic:nvPicPr>
                <pic:blipFill>
                  <a:blip r:embed="rId1"/>
                  <a:srcRect b="0" l="0" r="0" t="63954"/>
                  <a:stretch>
                    <a:fillRect/>
                  </a:stretch>
                </pic:blipFill>
                <pic:spPr>
                  <a:xfrm>
                    <a:off x="0" y="0"/>
                    <a:ext cx="7762875" cy="933877"/>
                  </a:xfrm>
                  <a:prstGeom prst="rect"/>
                  <a:ln/>
                </pic:spPr>
              </pic:pic>
            </a:graphicData>
          </a:graphic>
        </wp:anchor>
      </w:drawing>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ftr>
</file>

<file path=word/footer2.xml><?xml version="1.0" encoding="utf-8"?>
<w:ftr xmlns:w="http://schemas.openxmlformats.org/wordprocessingml/2006/main">
  <w:p>
    <w:pPr>
      <w:pStyle w:val="Footer"/>
      <w:jc w:val="center"/>
    </w:pPr>
    <w:r/>
    <w:r>
      <w:rPr>
        <w:color w:val="8A93A3"/>
        <w:sz w:val="16"/>
      </w:rPr>
      <w:t>ULAP Internal Document — Not for circulation without NEB Board approval</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2">
    <w:pPr>
      <w:tabs>
        <w:tab w:val="center" w:leader="none" w:pos="4680"/>
        <w:tab w:val="right" w:leader="none" w:pos="9360"/>
        <w:tab w:val="right" w:leader="none" w:pos="10184"/>
      </w:tabs>
      <w:spacing w:line="240" w:lineRule="auto"/>
      <w:jc w:val="center"/>
      <w:rPr>
        <w:sz w:val="7"/>
        <w:szCs w:val="7"/>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
              <a:graphic>
                <a:graphicData uri="http://schemas.microsoft.com/office/word/2010/wordprocessingGroup">
                  <wpg:wgp>
                    <wpg:cNvGrpSpPr/>
                    <wpg:grpSpPr>
                      <a:xfrm>
                        <a:off x="1414075" y="2974800"/>
                        <a:ext cx="8249383" cy="1671638"/>
                        <a:chOff x="1414075" y="2974800"/>
                        <a:chExt cx="7863850" cy="1610400"/>
                      </a:xfrm>
                    </wpg:grpSpPr>
                    <wpg:grpSp>
                      <wpg:cNvGrpSpPr/>
                      <wpg:grpSpPr>
                        <a:xfrm>
                          <a:off x="1414080" y="2974820"/>
                          <a:ext cx="7863840" cy="1610360"/>
                          <a:chOff x="1414075" y="2974800"/>
                          <a:chExt cx="7863850" cy="1610400"/>
                        </a:xfrm>
                      </wpg:grpSpPr>
                      <wps:wsp>
                        <wps:cNvSpPr/>
                        <wps:cNvPr id="3" name="Shape 3"/>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5" name="Shape 5"/>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7" name="Shape 7"/>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1414075" y="2974800"/>
                                <a:chExt cx="7863850" cy="1610400"/>
                              </a:xfrm>
                            </wpg:grpSpPr>
                            <wps:wsp>
                              <wps:cNvSpPr/>
                              <wps:cNvPr id="9" name="Shape 9"/>
                              <wps:spPr>
                                <a:xfrm>
                                  <a:off x="1414075" y="2974800"/>
                                  <a:ext cx="7863850" cy="161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14080" y="2974820"/>
                                  <a:ext cx="7863840" cy="1610360"/>
                                  <a:chOff x="0" y="0"/>
                                  <a:chExt cx="7863840" cy="1610360"/>
                                </a:xfrm>
                              </wpg:grpSpPr>
                              <wps:wsp>
                                <wps:cNvSpPr/>
                                <wps:cNvPr id="11" name="Shape 11"/>
                                <wps:spPr>
                                  <a:xfrm>
                                    <a:off x="0" y="0"/>
                                    <a:ext cx="7863825" cy="1610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A picture containing icon  Description automatically generated" id="12" name="Shape 12"/>
                                  <pic:cNvPicPr preferRelativeResize="0"/>
                                </pic:nvPicPr>
                                <pic:blipFill rotWithShape="1">
                                  <a:blip r:embed="rId1">
                                    <a:alphaModFix amt="50000"/>
                                  </a:blip>
                                  <a:srcRect b="0" l="0" r="0" t="0"/>
                                  <a:stretch/>
                                </pic:blipFill>
                                <pic:spPr>
                                  <a:xfrm flipH="1">
                                    <a:off x="95250" y="228600"/>
                                    <a:ext cx="7767955" cy="1247775"/>
                                  </a:xfrm>
                                  <a:prstGeom prst="rect">
                                    <a:avLst/>
                                  </a:prstGeom>
                                  <a:noFill/>
                                  <a:ln>
                                    <a:noFill/>
                                  </a:ln>
                                </pic:spPr>
                              </pic:pic>
                              <pic:pic>
                                <pic:nvPicPr>
                                  <pic:cNvPr descr="A picture containing icon  Description automatically generated" id="13" name="Shape 13"/>
                                  <pic:cNvPicPr preferRelativeResize="0"/>
                                </pic:nvPicPr>
                                <pic:blipFill rotWithShape="1">
                                  <a:blip r:embed="rId1">
                                    <a:alphaModFix amt="50000"/>
                                  </a:blip>
                                  <a:srcRect b="0" l="0" r="39356" t="0"/>
                                  <a:stretch/>
                                </pic:blipFill>
                                <pic:spPr>
                                  <a:xfrm>
                                    <a:off x="95250" y="222250"/>
                                    <a:ext cx="4705350" cy="1247775"/>
                                  </a:xfrm>
                                  <a:prstGeom prst="rect">
                                    <a:avLst/>
                                  </a:prstGeom>
                                  <a:noFill/>
                                  <a:ln>
                                    <a:noFill/>
                                  </a:ln>
                                </pic:spPr>
                              </pic:pic>
                              <pic:pic>
                                <pic:nvPicPr>
                                  <pic:cNvPr id="14" name="Shape 14"/>
                                  <pic:cNvPicPr preferRelativeResize="0"/>
                                </pic:nvPicPr>
                                <pic:blipFill rotWithShape="1">
                                  <a:blip r:embed="rId2">
                                    <a:alphaModFix/>
                                  </a:blip>
                                  <a:srcRect b="29036" l="0" r="0" t="2914"/>
                                  <a:stretch/>
                                </pic:blipFill>
                                <pic:spPr>
                                  <a:xfrm>
                                    <a:off x="990600" y="590550"/>
                                    <a:ext cx="5943600" cy="1019810"/>
                                  </a:xfrm>
                                  <a:prstGeom prst="rect">
                                    <a:avLst/>
                                  </a:prstGeom>
                                  <a:noFill/>
                                  <a:ln>
                                    <a:noFill/>
                                  </a:ln>
                                </pic:spPr>
                              </pic:pic>
                              <pic:pic>
                                <pic:nvPicPr>
                                  <pic:cNvPr descr="Background pattern  Description automatically generated" id="15" name="Shape 15"/>
                                  <pic:cNvPicPr preferRelativeResize="0"/>
                                </pic:nvPicPr>
                                <pic:blipFill rotWithShape="1">
                                  <a:blip r:embed="rId3">
                                    <a:alphaModFix/>
                                  </a:blip>
                                  <a:srcRect b="0" l="0" r="0" t="0"/>
                                  <a:stretch/>
                                </pic:blipFill>
                                <pic:spPr>
                                  <a:xfrm>
                                    <a:off x="0" y="0"/>
                                    <a:ext cx="7863840" cy="396875"/>
                                  </a:xfrm>
                                  <a:prstGeom prst="rect">
                                    <a:avLst/>
                                  </a:prstGeom>
                                  <a:noFill/>
                                  <a:ln>
                                    <a:noFill/>
                                  </a:ln>
                                </pic:spPr>
                              </pic:pic>
                            </wpg:grpSp>
                          </wpg:grp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-1105632</wp:posOffset>
              </wp:positionH>
              <wp:positionV relativeFrom="paragraph">
                <wp:posOffset>-457199</wp:posOffset>
              </wp:positionV>
              <wp:extent cx="8249383" cy="1671638"/>
              <wp:effectExtent b="0" l="0" r="0" t="0"/>
              <wp:wrapSquare wrapText="bothSides" distB="0" distT="0" distL="114300" distR="114300"/>
              <wp:docPr id="1" name="image2.png"/>
              <a:graphic>
                <a:graphicData uri="http://schemas.openxmlformats.org/drawingml/2006/picture">
                  <pic:pic>
                    <pic:nvPicPr>
                      <pic:cNvPr id="0" name="image2.png"/>
                      <pic:cNvPicPr preferRelativeResize="0"/>
                    </pic:nvPicPr>
                    <pic:blipFill>
                      <a:blip r:embed="rId4"/>
                      <a:srcRect/>
                      <a:stretch>
                        <a:fillRect/>
                      </a:stretch>
                    </pic:blipFill>
                    <pic:spPr>
                      <a:xfrm>
                        <a:off x="0" y="0"/>
                        <a:ext cx="8249383" cy="1671638"/>
                      </a:xfrm>
                      <a:prstGeom prst="rect"/>
                      <a:ln/>
                    </pic:spPr>
                  </pic:pic>
                </a:graphicData>
              </a:graphic>
            </wp:anchor>
          </w:drawing>
        </mc:Fallback>
      </mc:AlternateContent>
    </w:r>
  </w:p>
  <w:p w:rsidR="00000000" w:rsidDel="00000000" w:rsidP="00000000" w:rsidRDefault="00000000" w:rsidRPr="00000000" w14:paraId="00000003">
    <w:pPr>
      <w:tabs>
        <w:tab w:val="center" w:leader="none" w:pos="4680"/>
        <w:tab w:val="right" w:leader="none" w:pos="9360"/>
        <w:tab w:val="right" w:leader="none" w:pos="10184"/>
      </w:tabs>
      <w:spacing w:line="240" w:lineRule="auto"/>
      <w:jc w:val="center"/>
      <w:rPr>
        <w:sz w:val="16"/>
        <w:szCs w:val="16"/>
      </w:rPr>
    </w:pPr>
    <w:r w:rsidDel="00000000" w:rsidR="00000000" w:rsidRPr="00000000">
      <w:rPr>
        <w:sz w:val="16"/>
        <w:szCs w:val="16"/>
        <w:rtl w:val="0"/>
      </w:rPr>
      <w:t xml:space="preserve">28F Unit 2803 Summit One Tower 530 Shaw Boulevard, Mandaluyong City</w:t>
    </w:r>
  </w:p>
  <w:p w:rsidR="00000000" w:rsidDel="00000000" w:rsidP="00000000" w:rsidRDefault="00000000" w:rsidRPr="00000000" w14:paraId="00000004">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Phone: </w:t>
    </w:r>
    <w:r w:rsidDel="00000000" w:rsidR="00000000" w:rsidRPr="00000000">
      <w:rPr>
        <w:sz w:val="16"/>
        <w:szCs w:val="16"/>
        <w:rtl w:val="0"/>
      </w:rPr>
      <w:t xml:space="preserve">(+63) 9189856659 </w:t>
    </w:r>
    <w:r w:rsidDel="00000000" w:rsidR="00000000" w:rsidRPr="00000000">
      <w:rPr>
        <w:b w:val="1"/>
        <w:bCs w:val="1"/>
        <w:sz w:val="16"/>
        <w:szCs w:val="16"/>
        <w:rtl w:val="0"/>
      </w:rPr>
      <w:t xml:space="preserve">E-Mail:</w:t>
    </w:r>
    <w:r w:rsidDel="00000000" w:rsidR="00000000" w:rsidRPr="00000000">
      <w:rPr>
        <w:sz w:val="16"/>
        <w:szCs w:val="16"/>
        <w:rtl w:val="0"/>
      </w:rPr>
      <w:t xml:space="preserve"> </w:t>
    </w:r>
    <w:hyperlink r:id="rId5">
      <w:r w:rsidDel="00000000" w:rsidR="00000000" w:rsidRPr="00000000">
        <w:rPr>
          <w:color w:val="0563c1"/>
          <w:sz w:val="16"/>
          <w:szCs w:val="16"/>
          <w:u w:val="single"/>
          <w:rtl w:val="0"/>
        </w:rPr>
        <w:t xml:space="preserve">ulapnatsec@gmail.com</w:t>
      </w:r>
    </w:hyperlink>
    <w:r w:rsidDel="00000000" w:rsidR="00000000" w:rsidRPr="00000000">
      <w:rPr>
        <w:sz w:val="16"/>
        <w:szCs w:val="16"/>
        <w:rtl w:val="0"/>
      </w:rPr>
      <w:t xml:space="preserve">, </w:t>
    </w:r>
    <w:hyperlink r:id="rId6">
      <w:r w:rsidDel="00000000" w:rsidR="00000000" w:rsidRPr="00000000">
        <w:rPr>
          <w:color w:val="0563c1"/>
          <w:sz w:val="16"/>
          <w:szCs w:val="16"/>
          <w:u w:val="single"/>
          <w:rtl w:val="0"/>
        </w:rPr>
        <w:t xml:space="preserve">secretariat@ulap.net.ph</w:t>
      </w:r>
    </w:hyperlink>
    <w:r w:rsidDel="00000000" w:rsidR="00000000" w:rsidRPr="00000000">
      <w:rPr>
        <w:rtl w:val="0"/>
      </w:rPr>
    </w:r>
  </w:p>
  <w:p w:rsidR="00000000" w:rsidDel="00000000" w:rsidP="00000000" w:rsidRDefault="00000000" w:rsidRPr="00000000" w14:paraId="00000005">
    <w:pPr>
      <w:tabs>
        <w:tab w:val="center" w:leader="none" w:pos="4680"/>
        <w:tab w:val="right" w:leader="none" w:pos="9360"/>
      </w:tabs>
      <w:spacing w:line="240" w:lineRule="auto"/>
      <w:jc w:val="center"/>
      <w:rPr>
        <w:sz w:val="16"/>
        <w:szCs w:val="16"/>
      </w:rPr>
    </w:pPr>
    <w:r w:rsidDel="00000000" w:rsidR="00000000" w:rsidRPr="00000000">
      <w:rPr>
        <w:b w:val="1"/>
        <w:bCs w:val="1"/>
        <w:sz w:val="16"/>
        <w:szCs w:val="16"/>
        <w:rtl w:val="0"/>
      </w:rPr>
      <w:t xml:space="preserve">Website:</w:t>
    </w:r>
    <w:r w:rsidDel="00000000" w:rsidR="00000000" w:rsidRPr="00000000">
      <w:rPr>
        <w:sz w:val="16"/>
        <w:szCs w:val="16"/>
        <w:rtl w:val="0"/>
      </w:rPr>
      <w:t xml:space="preserve"> </w:t>
    </w:r>
    <w:hyperlink r:id="rId7">
      <w:r w:rsidDel="00000000" w:rsidR="00000000" w:rsidRPr="00000000">
        <w:rPr>
          <w:color w:val="0563c1"/>
          <w:sz w:val="16"/>
          <w:szCs w:val="16"/>
          <w:u w:val="single"/>
          <w:rtl w:val="0"/>
        </w:rPr>
        <w:t xml:space="preserve">www.ulap.net.ph</w:t>
      </w:r>
    </w:hyperlink>
    <w:r w:rsidDel="00000000" w:rsidR="00000000" w:rsidRPr="00000000">
      <w:rPr>
        <w:sz w:val="16"/>
        <w:szCs w:val="16"/>
        <w:rtl w:val="0"/>
      </w:rPr>
      <w:t xml:space="preserve"> </w:t>
    </w:r>
    <w:r w:rsidDel="00000000" w:rsidR="00000000" w:rsidRPr="00000000">
      <w:rPr>
        <w:b w:val="1"/>
        <w:bCs w:val="1"/>
        <w:sz w:val="16"/>
        <w:szCs w:val="16"/>
        <w:rtl w:val="0"/>
      </w:rPr>
      <w:t xml:space="preserve">Facebook:</w:t>
    </w:r>
    <w:r w:rsidDel="00000000" w:rsidR="00000000" w:rsidRPr="00000000">
      <w:rPr>
        <w:sz w:val="16"/>
        <w:szCs w:val="16"/>
        <w:rtl w:val="0"/>
      </w:rPr>
      <w:t xml:space="preserve"> </w:t>
    </w:r>
    <w:hyperlink r:id="rId8">
      <w:r w:rsidDel="00000000" w:rsidR="00000000" w:rsidRPr="00000000">
        <w:rPr>
          <w:color w:val="0563c1"/>
          <w:sz w:val="16"/>
          <w:szCs w:val="16"/>
          <w:u w:val="single"/>
          <w:rtl w:val="0"/>
        </w:rPr>
        <w:t xml:space="preserve">www.facebook.com/ulap.net.ph</w:t>
      </w:r>
    </w:hyperlink>
    <w:r w:rsidDel="00000000" w:rsidR="00000000" w:rsidRPr="00000000">
      <w:rPr>
        <w:sz w:val="16"/>
        <w:szCs w:val="16"/>
        <w:rtl w:val="0"/>
      </w:rPr>
      <w:t xml:space="preserve"> </w:t>
    </w:r>
  </w:p>
  <w:p w:rsidR="00000000" w:rsidDel="00000000" w:rsidP="00000000" w:rsidRDefault="00000000" w:rsidRPr="00000000" w14:paraId="00000006">
    <w:pPr>
      <w:pBdr>
        <w:bottom w:color="000000" w:space="1" w:sz="6" w:val="single"/>
      </w:pBdr>
      <w:tabs>
        <w:tab w:val="center" w:leader="none" w:pos="4680"/>
        <w:tab w:val="right" w:leader="none" w:pos="9360"/>
      </w:tabs>
      <w:spacing w:line="240" w:lineRule="auto"/>
      <w:ind w:left="-1134" w:right="-1097" w:firstLine="0"/>
      <w:rPr>
        <w:b w:val="1"/>
        <w:bCs w:val="1"/>
        <w:color w:val="002060"/>
        <w:sz w:val="15"/>
        <w:szCs w:val="15"/>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header2.xml><?xml version="1.0" encoding="utf-8"?>
<w:hdr xmlns:w="http://schemas.openxmlformats.org/wordprocessingml/2006/main">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 Id="rId3" Type="http://schemas.openxmlformats.org/officeDocument/2006/relationships/image" Target="media/image5.jpg"/><Relationship Id="rId4" Type="http://schemas.openxmlformats.org/officeDocument/2006/relationships/image" Target="media/image2.png"/><Relationship Id="rId5" Type="http://schemas.openxmlformats.org/officeDocument/2006/relationships/hyperlink" Target="about:blank" TargetMode="External"/><Relationship Id="rId6" Type="http://schemas.openxmlformats.org/officeDocument/2006/relationships/hyperlink" Target="about:blank" TargetMode="External"/><Relationship Id="rId7" Type="http://schemas.openxmlformats.org/officeDocument/2006/relationships/hyperlink" Target="about:blank" TargetMode="External"/><Relationship Id="rId8" Type="http://schemas.openxmlformats.org/officeDocument/2006/relationships/hyperlink" Target="about:bla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