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HOUSE BILL NOS. 1901 AND 2412,</w:t>
      </w:r>
    </w:p>
    <w:p>
      <w:pPr>
        <w:spacing w:before="40" w:after="200" w:line="264" w:lineRule="auto"/>
        <w:jc w:val="center"/>
      </w:pPr>
      <w:r>
        <w:rPr>
          <w:rFonts w:ascii="Arial" w:hAnsi="Arial" w:cs="Arial"/>
          <w:b/>
          <w:bCs/>
          <w:sz w:val="24"/>
          <w:szCs w:val="24"/>
        </w:rPr>
        <w:t xml:space="preserve">WATER SERVICE COOPERATIVES AND LOCAL COOPERATIVES DEVELOPMENT FUNDS</w:t>
      </w:r>
    </w:p>
    <w:p>
      <w:pPr>
        <w:spacing w:before="0" w:after="140" w:line="264" w:lineRule="auto"/>
        <w:jc w:val="both"/>
      </w:pPr>
      <w:r>
        <w:rPr>
          <w:rFonts w:ascii="Arial" w:hAnsi="Arial" w:cs="Arial"/>
          <w:sz w:val="20"/>
          <w:szCs w:val="20"/>
        </w:rPr>
        <w:t xml:space="preserve">The Union of Local Authorities of the Philippines (ULAP), as the umbrella organization of local government units (LGUs) and their leagues, supports the objective of expanding access to affordable services, strengthening cooperatives, and improving delivery in underserved communities. ULAP recognizes the importance of water security and local enterprise development. House Bill No. 1901 and House Bill No. 2412, as referred to ULAP for comment, should nonetheless be amended to protect local fiscal autonomy, preserve planning discretion, and avoid rigid one-size-fits-all mandates on LGUs.</w:t>
      </w:r>
    </w:p>
    <w:p>
      <w:pPr>
        <w:spacing w:before="0" w:after="140" w:line="264" w:lineRule="auto"/>
        <w:jc w:val="both"/>
      </w:pPr>
      <w:r>
        <w:rPr>
          <w:rFonts w:ascii="Arial" w:hAnsi="Arial" w:cs="Arial"/>
          <w:sz w:val="20"/>
          <w:szCs w:val="20"/>
        </w:rPr>
        <w:t xml:space="preserve">ULAP is open to measures that help organize and support cooperatives, especially where services are weak or unavailable. Congress should draw a firm line between enabling support for cooperatives and mandatory earmarks that effectively pre-commit local revenues regardless of local priorities, existing service arrangements, or actual implementation capacity.</w:t>
      </w:r>
    </w:p>
    <w:p>
      <w:pPr>
        <w:keepNext/>
        <w:spacing w:before="220" w:after="100" w:line="264" w:lineRule="auto"/>
        <w:jc w:val="left"/>
      </w:pPr>
      <w:r>
        <w:rPr>
          <w:rFonts w:ascii="Arial" w:hAnsi="Arial" w:cs="Arial"/>
          <w:b/>
          <w:bCs/>
          <w:sz w:val="20"/>
          <w:szCs w:val="20"/>
        </w:rPr>
        <w:t xml:space="preserve">Key Comments</w:t>
      </w:r>
    </w:p>
    <w:p>
      <w:pPr>
        <w:keepNext/>
        <w:spacing w:before="180" w:after="90" w:line="264" w:lineRule="auto"/>
        <w:jc w:val="both"/>
      </w:pPr>
      <w:r>
        <w:rPr>
          <w:rFonts w:ascii="Arial" w:hAnsi="Arial" w:cs="Arial"/>
          <w:b/>
          <w:bCs/>
          <w:sz w:val="20"/>
          <w:szCs w:val="20"/>
        </w:rPr>
        <w:t xml:space="preserve">1. Mandatory earmarks from LGU resources should be avoided or made discretionary.</w:t>
      </w:r>
    </w:p>
    <w:p>
      <w:pPr>
        <w:spacing w:before="0" w:after="140" w:line="264" w:lineRule="auto"/>
        <w:jc w:val="both"/>
      </w:pPr>
      <w:r>
        <w:rPr>
          <w:rFonts w:ascii="Arial" w:hAnsi="Arial" w:cs="Arial"/>
          <w:sz w:val="20"/>
          <w:szCs w:val="20"/>
        </w:rPr>
        <w:t xml:space="preserve">ULAP's principal concern is the statutory direction in House Bill No. 1901 for provinces, cities, and municipalities to appropriate at least two percent (2%) of their National Tax Allotment for the Local Water Service Cooperatives Development Fund, together with the broader direction in House Bill No. 2412 to establish local cooperatives development funds for each LGU. The policy intent is understandable. Fixed national earmarks on local revenues, however, cut directly into local fiscal discretion and can crowd out urgent local expenditures on health, education, disaster response, social protection, and infrastructure. ULAP recommends that Congress shift from mandatory set-asides to enabling authority, performance-based grants, matching funds, or other flexible support arrangements that allow local sanggunians to respond to actual local conditions.</w:t>
      </w:r>
    </w:p>
    <w:p>
      <w:pPr>
        <w:keepNext/>
        <w:spacing w:before="180" w:after="90" w:line="264" w:lineRule="auto"/>
        <w:jc w:val="both"/>
      </w:pPr>
      <w:r>
        <w:rPr>
          <w:rFonts w:ascii="Arial" w:hAnsi="Arial" w:cs="Arial"/>
          <w:b/>
          <w:bCs/>
          <w:sz w:val="20"/>
          <w:szCs w:val="20"/>
        </w:rPr>
        <w:t xml:space="preserve">2. Cooperative support should be tied to local planning, viability, and service gaps.</w:t>
      </w:r>
    </w:p>
    <w:p>
      <w:pPr>
        <w:spacing w:before="0" w:after="140" w:line="264" w:lineRule="auto"/>
        <w:jc w:val="both"/>
      </w:pPr>
      <w:r>
        <w:rPr>
          <w:rFonts w:ascii="Arial" w:hAnsi="Arial" w:cs="Arial"/>
          <w:sz w:val="20"/>
          <w:szCs w:val="20"/>
        </w:rPr>
        <w:t xml:space="preserve">ULAP supports assisting cooperatives where real service deficits exist, especially in unserved or underserved areas. Statutory support should be linked to local development plans, viability assessments, and objective service-gap criteria. Not all LGUs face the same water-service or cooperative-development conditions. The law should allow local prioritization and should not assume that a single funding design fits highly urbanized cities, provinces, and lower-income municipalities alike.</w:t>
      </w:r>
    </w:p>
    <w:p>
      <w:pPr>
        <w:keepNext/>
        <w:spacing w:before="180" w:after="90" w:line="264" w:lineRule="auto"/>
        <w:jc w:val="both"/>
      </w:pPr>
      <w:r>
        <w:rPr>
          <w:rFonts w:ascii="Arial" w:hAnsi="Arial" w:cs="Arial"/>
          <w:b/>
          <w:bCs/>
          <w:sz w:val="20"/>
          <w:szCs w:val="20"/>
        </w:rPr>
        <w:t xml:space="preserve">3. Existing institutional arrangements in water service delivery must be respected.</w:t>
      </w:r>
    </w:p>
    <w:p>
      <w:pPr>
        <w:spacing w:before="0" w:after="140" w:line="264" w:lineRule="auto"/>
        <w:jc w:val="both"/>
      </w:pPr>
      <w:r>
        <w:rPr>
          <w:rFonts w:ascii="Arial" w:hAnsi="Arial" w:cs="Arial"/>
          <w:sz w:val="20"/>
          <w:szCs w:val="20"/>
        </w:rPr>
        <w:t xml:space="preserve">For House Bill No. 1901, the final law should clearly address how water service cooperatives will relate to existing water districts, LGU-operated systems, barangay systems, private concessionaires, regulatory requirements, and local planning approvals. Congress should avoid language that unintentionally creates conflict with existing franchises, permits, environmental rules, public utility regulation, or ongoing service arrangements that already supply communities.</w:t>
      </w:r>
    </w:p>
    <w:p>
      <w:pPr>
        <w:keepNext/>
        <w:spacing w:before="180" w:after="90" w:line="264" w:lineRule="auto"/>
        <w:jc w:val="both"/>
      </w:pPr>
      <w:r>
        <w:rPr>
          <w:rFonts w:ascii="Arial" w:hAnsi="Arial" w:cs="Arial"/>
          <w:b/>
          <w:bCs/>
          <w:sz w:val="20"/>
          <w:szCs w:val="20"/>
        </w:rPr>
        <w:t xml:space="preserve">4. Preferential rights and privileges should remain subject to law, regulation, and public accountability.</w:t>
      </w:r>
    </w:p>
    <w:p>
      <w:pPr>
        <w:spacing w:before="0" w:after="140" w:line="264" w:lineRule="auto"/>
        <w:jc w:val="both"/>
      </w:pPr>
      <w:r>
        <w:rPr>
          <w:rFonts w:ascii="Arial" w:hAnsi="Arial" w:cs="Arial"/>
          <w:sz w:val="20"/>
          <w:szCs w:val="20"/>
        </w:rPr>
        <w:t xml:space="preserve">ULAP is cautious about provisions that may be read to grant preferential rights and privileges, including access to franchises, permits, leases of public utilities, and related facilities, without sufficiently clear safeguards. Any such preference should remain subject to applicable water, environmental, procurement, competition, and local-planning rules. Support for cooperatives should not come at the expense of due process, sound regulation, or transparency in the use of public assets.</w:t>
      </w:r>
    </w:p>
    <w:p>
      <w:pPr>
        <w:keepNext/>
        <w:spacing w:before="180" w:after="90" w:line="264" w:lineRule="auto"/>
        <w:jc w:val="both"/>
      </w:pPr>
      <w:r>
        <w:rPr>
          <w:rFonts w:ascii="Arial" w:hAnsi="Arial" w:cs="Arial"/>
          <w:b/>
          <w:bCs/>
          <w:sz w:val="20"/>
          <w:szCs w:val="20"/>
        </w:rPr>
        <w:t xml:space="preserve">5. Technical assistance, financing access, and capacity-building are constructive and should be retained.</w:t>
      </w:r>
    </w:p>
    <w:p>
      <w:pPr>
        <w:spacing w:before="0" w:after="140" w:line="264" w:lineRule="auto"/>
        <w:jc w:val="both"/>
      </w:pPr>
      <w:r>
        <w:rPr>
          <w:rFonts w:ascii="Arial" w:hAnsi="Arial" w:cs="Arial"/>
          <w:sz w:val="20"/>
          <w:szCs w:val="20"/>
        </w:rPr>
        <w:t xml:space="preserve">ULAP supports the policy direction in House Bill No. 1901 on technical support, capacity-building, training, and assistance for underserved communities. These forms of support expand capability without automatically displacing local budget choices. Congress can strengthen this dimension further through national grant windows, credit enhancement, concessional lending support, model ordinances, and technical assistance for water safety, operations, and governance.</w:t>
      </w:r>
    </w:p>
    <w:p>
      <w:pPr>
        <w:keepNext/>
        <w:spacing w:before="180" w:after="90" w:line="264" w:lineRule="auto"/>
        <w:jc w:val="both"/>
      </w:pPr>
      <w:r>
        <w:rPr>
          <w:rFonts w:ascii="Arial" w:hAnsi="Arial" w:cs="Arial"/>
          <w:b/>
          <w:bCs/>
          <w:sz w:val="20"/>
          <w:szCs w:val="20"/>
        </w:rPr>
        <w:t xml:space="preserve">6. Comments on House Bill No. 2412 are principle-based pending machine-readable text.</w:t>
      </w:r>
    </w:p>
    <w:p>
      <w:pPr>
        <w:spacing w:before="0" w:after="140" w:line="264" w:lineRule="auto"/>
        <w:jc w:val="both"/>
      </w:pPr>
      <w:r>
        <w:rPr>
          <w:rFonts w:ascii="Arial" w:hAnsi="Arial" w:cs="Arial"/>
          <w:sz w:val="20"/>
          <w:szCs w:val="20"/>
        </w:rPr>
        <w:t xml:space="preserve">The attached copy of House Bill No. 2412 was not machine-readable in the current run. ULAP's comments on that measure are therefore principle-based rather than clause-by-clause. ULAP recommends that any final version of House Bill No. 2412 clearly define allowable uses of any local cooperative fund, preserve sanggunian budget discretion, avoid mandatory unfunded commitments, and specify how the measure interacts with existing cooperative, local finance, and development planning laws.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goal of stronger cooperatives and improved water access, but recommends substantial amendment to House Bill Nos. 1901 and 2412. A better legislative approach would enable and incentivize cooperative development without imposing rigid national earmarks on local revenues, while preserving lawful local discretion, respecting existing service arrangements, and pairing any new responsibilities with clear regulatory safeguards and practical implementation support.</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