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left"/>
      </w:pPr>
      <w:r>
        <w:rPr>
          <w:b/>
          <w:color w:val="B23B3B"/>
          <w:sz w:val="22"/>
        </w:rPr>
        <w:t>CONFIDENTIAL — ULAP INTERNAL WORKING DRAFT</w:t>
      </w:r>
    </w:p>
    <w:p>
      <w:pPr>
        <w:jc w:val="left"/>
      </w:pPr>
      <w:r>
        <w:rPr>
          <w:i/>
          <w:color w:val="5A6473"/>
          <w:sz w:val="18"/>
        </w:rPr>
        <w:t>This is an internal working draft of the Union of Local Authorities of the Philippines (ULAP) National Executive Board. It must not be circulated, published, or forwarded outside ULAP without prior approval of the ULAP National Executive Board.</w:t>
      </w:r>
    </w:p>
    <w:p/>
    <w:p>
      <w:pPr>
        <w:spacing w:before="0" w:after="0" w:line="1980" w:lineRule="exact"/>
        <w:jc w:val="left"/>
      </w:pPr>
    </w:p>
    <w:p>
      <w:pPr>
        <w:spacing w:before="0" w:after="40" w:line="264" w:lineRule="auto"/>
        <w:jc w:val="center"/>
      </w:pPr>
      <w:r>
        <w:rPr>
          <w:rFonts w:ascii="Arial" w:hAnsi="Arial" w:cs="Arial"/>
          <w:b/>
          <w:bCs/>
          <w:sz w:val="24"/>
          <w:szCs w:val="24"/>
        </w:rPr>
        <w:t xml:space="preserve">POSITION PAPER ON THE REVISED DRAFT EXECUTIVE ORDER</w:t>
      </w:r>
    </w:p>
    <w:p>
      <w:pPr>
        <w:spacing w:before="40" w:after="200" w:line="264" w:lineRule="auto"/>
        <w:jc w:val="center"/>
      </w:pPr>
      <w:r>
        <w:rPr>
          <w:rFonts w:ascii="Arial" w:hAnsi="Arial" w:cs="Arial"/>
          <w:b/>
          <w:bCs/>
          <w:sz w:val="24"/>
          <w:szCs w:val="24"/>
        </w:rPr>
        <w:t xml:space="preserve">STREAMLINING CLUP AND PHYSICAL FRAMEWORK PLANS OF LGUs</w:t>
      </w:r>
    </w:p>
    <w:p>
      <w:pPr>
        <w:spacing w:before="0" w:after="140" w:line="264" w:lineRule="auto"/>
        <w:jc w:val="both"/>
      </w:pPr>
      <w:r>
        <w:rPr>
          <w:rFonts w:ascii="Arial" w:hAnsi="Arial" w:cs="Arial"/>
          <w:sz w:val="20"/>
          <w:szCs w:val="20"/>
        </w:rPr>
        <w:t xml:space="preserve">ULAP supports the objective of streamlining the preparation, review, and implementation of Comprehensive Land Use Plans, Zoning Ordinances, Provincial Development and Physical Framework Plans, and related physical framework plans. Predictable land-use planning rules are necessary for local development, climate resilience, infrastructure programming, food security, housing, and investment facilitation.</w:t>
      </w:r>
    </w:p>
    <w:p>
      <w:pPr>
        <w:spacing w:before="0" w:after="140" w:line="264" w:lineRule="auto"/>
        <w:jc w:val="both"/>
      </w:pPr>
      <w:r>
        <w:rPr>
          <w:rFonts w:ascii="Arial" w:hAnsi="Arial" w:cs="Arial"/>
          <w:sz w:val="20"/>
          <w:szCs w:val="20"/>
        </w:rPr>
        <w:t xml:space="preserve">ULAP may support the proposed Executive Order in principle, provided that it preserves local autonomy and sanggunian authority under the Local Government Code, keeps national agency review within standards-setting and technical-support functions, avoids unfunded mandates on LGUs, clarifies the treatment of nationally significant projects, and provides a realistic transition framework before sanctions are imposed.</w:t>
      </w:r>
    </w:p>
    <w:p>
      <w:pPr>
        <w:keepNext/>
        <w:spacing w:before="220" w:after="100" w:line="264" w:lineRule="auto"/>
        <w:jc w:val="left"/>
      </w:pPr>
      <w:r>
        <w:rPr>
          <w:rFonts w:ascii="Arial" w:hAnsi="Arial" w:cs="Arial"/>
          <w:b/>
          <w:bCs/>
          <w:sz w:val="20"/>
          <w:szCs w:val="20"/>
        </w:rPr>
        <w:t xml:space="preserve">Key LGU Considerations</w:t>
      </w:r>
    </w:p>
    <w:p>
      <w:pPr>
        <w:keepNext/>
        <w:spacing w:before="180" w:after="90" w:line="264" w:lineRule="auto"/>
        <w:jc w:val="both"/>
      </w:pPr>
      <w:r>
        <w:rPr>
          <w:rFonts w:ascii="Arial" w:hAnsi="Arial" w:cs="Arial"/>
          <w:b/>
          <w:bCs/>
          <w:sz w:val="20"/>
          <w:szCs w:val="20"/>
        </w:rPr>
        <w:t xml:space="preserve">Local autonomy and zoning authority.</w:t>
      </w:r>
    </w:p>
    <w:p>
      <w:pPr>
        <w:spacing w:before="0" w:after="140" w:line="264" w:lineRule="auto"/>
        <w:jc w:val="both"/>
      </w:pPr>
      <w:r>
        <w:rPr>
          <w:rFonts w:ascii="Arial" w:hAnsi="Arial" w:cs="Arial"/>
          <w:sz w:val="20"/>
          <w:szCs w:val="20"/>
        </w:rPr>
        <w:t xml:space="preserve">CLUPs and Zoning Ordinances are more than technical planning documents. They are local policy instruments that require local development-council initiation, sanggunian enactment, and consistency with local priorities and conditions.</w:t>
      </w:r>
    </w:p>
    <w:p>
      <w:pPr>
        <w:keepNext/>
        <w:spacing w:before="180" w:after="90" w:line="264" w:lineRule="auto"/>
        <w:jc w:val="both"/>
      </w:pPr>
      <w:r>
        <w:rPr>
          <w:rFonts w:ascii="Arial" w:hAnsi="Arial" w:cs="Arial"/>
          <w:b/>
          <w:bCs/>
          <w:sz w:val="20"/>
          <w:szCs w:val="20"/>
        </w:rPr>
        <w:t xml:space="preserve">National agency coordination.</w:t>
      </w:r>
    </w:p>
    <w:p>
      <w:pPr>
        <w:spacing w:before="0" w:after="140" w:line="264" w:lineRule="auto"/>
        <w:jc w:val="both"/>
      </w:pPr>
      <w:r>
        <w:rPr>
          <w:rFonts w:ascii="Arial" w:hAnsi="Arial" w:cs="Arial"/>
          <w:sz w:val="20"/>
          <w:szCs w:val="20"/>
        </w:rPr>
        <w:t xml:space="preserve">DHSUD, DA, DAR, DEPDev, and other national agencies should coordinate standards, maps, certification, and conflict-resolution processes without recentralizing decisions that the law assigns to LGUs.</w:t>
      </w:r>
    </w:p>
    <w:p>
      <w:pPr>
        <w:keepNext/>
        <w:spacing w:before="180" w:after="90" w:line="264" w:lineRule="auto"/>
        <w:jc w:val="both"/>
      </w:pPr>
      <w:r>
        <w:rPr>
          <w:rFonts w:ascii="Arial" w:hAnsi="Arial" w:cs="Arial"/>
          <w:b/>
          <w:bCs/>
          <w:sz w:val="20"/>
          <w:szCs w:val="20"/>
        </w:rPr>
        <w:t xml:space="preserve">Reclassification and conversion safeguards.</w:t>
      </w:r>
    </w:p>
    <w:p>
      <w:pPr>
        <w:spacing w:before="0" w:after="140" w:line="264" w:lineRule="auto"/>
        <w:jc w:val="both"/>
      </w:pPr>
      <w:r>
        <w:rPr>
          <w:rFonts w:ascii="Arial" w:hAnsi="Arial" w:cs="Arial"/>
          <w:sz w:val="20"/>
          <w:szCs w:val="20"/>
        </w:rPr>
        <w:t xml:space="preserve">The proposed reclassification limits and certification requirements must be time-bound and transparent. They should not bypass agricultural protection, agrarian reform, environmental safeguards, or legitimate local land-use objectives.</w:t>
      </w:r>
    </w:p>
    <w:p>
      <w:pPr>
        <w:keepNext/>
        <w:spacing w:before="180" w:after="90" w:line="264" w:lineRule="auto"/>
        <w:jc w:val="both"/>
      </w:pPr>
      <w:r>
        <w:rPr>
          <w:rFonts w:ascii="Arial" w:hAnsi="Arial" w:cs="Arial"/>
          <w:b/>
          <w:bCs/>
          <w:sz w:val="20"/>
          <w:szCs w:val="20"/>
        </w:rPr>
        <w:t xml:space="preserve">Data and capacity constraints.</w:t>
      </w:r>
    </w:p>
    <w:p>
      <w:pPr>
        <w:spacing w:before="0" w:after="140" w:line="264" w:lineRule="auto"/>
        <w:jc w:val="both"/>
      </w:pPr>
      <w:r>
        <w:rPr>
          <w:rFonts w:ascii="Arial" w:hAnsi="Arial" w:cs="Arial"/>
          <w:sz w:val="20"/>
          <w:szCs w:val="20"/>
        </w:rPr>
        <w:t xml:space="preserve">Requiring all LGUs to complete or update CLUPs within a fixed period is reasonable only if national agencies first deliver updated maps, hazard data, land-resource inventories, planning templates, and technical assistance.</w:t>
      </w:r>
    </w:p>
    <w:p>
      <w:pPr>
        <w:keepNext/>
        <w:spacing w:before="180" w:after="90" w:line="264" w:lineRule="auto"/>
        <w:jc w:val="both"/>
      </w:pPr>
      <w:r>
        <w:rPr>
          <w:rFonts w:ascii="Arial" w:hAnsi="Arial" w:cs="Arial"/>
          <w:b/>
          <w:bCs/>
          <w:sz w:val="20"/>
          <w:szCs w:val="20"/>
        </w:rPr>
        <w:t xml:space="preserve">Due process before sanctions.</w:t>
      </w:r>
    </w:p>
    <w:p>
      <w:pPr>
        <w:spacing w:before="0" w:after="140" w:line="264" w:lineRule="auto"/>
        <w:jc w:val="both"/>
      </w:pPr>
      <w:r>
        <w:rPr>
          <w:rFonts w:ascii="Arial" w:hAnsi="Arial" w:cs="Arial"/>
          <w:sz w:val="20"/>
          <w:szCs w:val="20"/>
        </w:rPr>
        <w:t xml:space="preserve">Any sanction for non-compliance should be preceded by notice, technical assistance, an opportunity to cure deficiencies, and a documented assessment of whether delay was caused by factors outside the LGU's control.</w:t>
      </w:r>
    </w:p>
    <w:p>
      <w:pPr>
        <w:keepNext/>
        <w:spacing w:before="220" w:after="100" w:line="264" w:lineRule="auto"/>
        <w:jc w:val="left"/>
      </w:pPr>
      <w:r>
        <w:rPr>
          <w:rFonts w:ascii="Arial" w:hAnsi="Arial" w:cs="Arial"/>
          <w:b/>
          <w:bCs/>
          <w:sz w:val="20"/>
          <w:szCs w:val="20"/>
        </w:rPr>
        <w:t xml:space="preserve">Recommended Comments and Revisions</w:t>
      </w:r>
    </w:p>
    <w:p>
      <w:pPr>
        <w:spacing w:before="0" w:after="140" w:line="264" w:lineRule="auto"/>
        <w:jc w:val="both"/>
      </w:pPr>
      <w:r>
        <w:rPr>
          <w:rFonts w:ascii="Arial" w:hAnsi="Arial" w:cs="Arial"/>
          <w:sz w:val="20"/>
          <w:szCs w:val="20"/>
        </w:rPr>
        <w:t xml:space="preserve">Expressly affirm that the EO does not diminish LGU powers under the Local Government Code, including local planning, zoning, reclassification within statutory limits, business permitting, and sanggunian enactment of Zoning Ordinances.</w:t>
      </w:r>
    </w:p>
    <w:p>
      <w:pPr>
        <w:spacing w:before="0" w:after="140" w:line="264" w:lineRule="auto"/>
        <w:jc w:val="both"/>
      </w:pPr>
      <w:r>
        <w:rPr>
          <w:rFonts w:ascii="Arial" w:hAnsi="Arial" w:cs="Arial"/>
          <w:sz w:val="20"/>
          <w:szCs w:val="20"/>
        </w:rPr>
        <w:t xml:space="preserve">Clarify that DHSUD review and ratification should operate as standards review and technical validation, and should not substitute for the statutory approval roles of local development councils, provincial land use committees, and sanggunians.</w:t>
      </w:r>
    </w:p>
    <w:p>
      <w:pPr>
        <w:spacing w:before="0" w:after="140" w:line="264" w:lineRule="auto"/>
        <w:jc w:val="both"/>
      </w:pPr>
      <w:r>
        <w:rPr>
          <w:rFonts w:ascii="Arial" w:hAnsi="Arial" w:cs="Arial"/>
          <w:sz w:val="20"/>
          <w:szCs w:val="20"/>
        </w:rPr>
        <w:t xml:space="preserve">Define "nationally significant projects" narrowly and require prior notice, consultation with affected LGUs, disclosure of project basis, and consistency checks with hazard, environmental, food-security, and resettlement considerations.</w:t>
      </w:r>
    </w:p>
    <w:p>
      <w:pPr>
        <w:spacing w:before="0" w:after="140" w:line="264" w:lineRule="auto"/>
        <w:jc w:val="both"/>
      </w:pPr>
      <w:r>
        <w:rPr>
          <w:rFonts w:ascii="Arial" w:hAnsi="Arial" w:cs="Arial"/>
          <w:sz w:val="20"/>
          <w:szCs w:val="20"/>
        </w:rPr>
        <w:t xml:space="preserve">Retain the proposed time-bound DAR and DA certification process, but specify that review periods run only from submission of complete documents and do not waive substantive safeguards required by law.</w:t>
      </w:r>
    </w:p>
    <w:p>
      <w:pPr>
        <w:spacing w:before="0" w:after="140" w:line="264" w:lineRule="auto"/>
        <w:jc w:val="both"/>
      </w:pPr>
      <w:r>
        <w:rPr>
          <w:rFonts w:ascii="Arial" w:hAnsi="Arial" w:cs="Arial"/>
          <w:sz w:val="20"/>
          <w:szCs w:val="20"/>
        </w:rPr>
        <w:t xml:space="preserve">Revise the three-year CLUP/Zoning Ordinance compliance clause to include phased targets, national agency deliverables, funding support, and due-process safeguards before penalties are recommended.</w:t>
      </w:r>
    </w:p>
    <w:p>
      <w:pPr>
        <w:spacing w:before="0" w:after="140" w:line="264" w:lineRule="auto"/>
        <w:jc w:val="both"/>
      </w:pPr>
      <w:r>
        <w:rPr>
          <w:rFonts w:ascii="Arial" w:hAnsi="Arial" w:cs="Arial"/>
          <w:sz w:val="20"/>
          <w:szCs w:val="20"/>
        </w:rPr>
        <w:t xml:space="preserve">Require the proposed integrated land-use information system to be accessible to LGUs and interoperable with local planning databases, with clear rules on data quality, privacy, updates, and agency responsibility.</w:t>
      </w:r>
    </w:p>
    <w:p>
      <w:pPr>
        <w:spacing w:before="0" w:after="140" w:line="264" w:lineRule="auto"/>
        <w:jc w:val="both"/>
      </w:pPr>
      <w:r>
        <w:rPr>
          <w:rFonts w:ascii="Arial" w:hAnsi="Arial" w:cs="Arial"/>
          <w:sz w:val="20"/>
          <w:szCs w:val="20"/>
        </w:rPr>
        <w:t xml:space="preserve">Add an explicit NLUC-level pathway for policy disputes, common base-map governance, tiered access to infrastructure-alignment data, and regional resolution of operational issues. The May 2026 NLUC-TWG highlights confirm that the EO and its IRR should distinguish policy-level land-use conflicts from local implementation appeals, protect sensitive infrastructure and geospatial data from misuse, and ensure that LGUs receive usable national datasets before compliance obligations are enforced.</w:t>
      </w:r>
    </w:p>
    <w:p>
      <w:pPr>
        <w:spacing w:before="160" w:after="160" w:line="264" w:lineRule="auto"/>
        <w:jc w:val="center"/>
      </w:pPr>
      <w:r>
        <w:rPr>
          <w:rFonts w:ascii="Arial" w:hAnsi="Arial" w:cs="Arial"/>
          <w:b/>
          <w:bCs/>
          <w:i/>
          <w:iCs/>
          <w:sz w:val="22"/>
          <w:szCs w:val="22"/>
        </w:rPr>
        <w:t xml:space="preserve"> </w:t>
      </w:r>
      <w:r>
        <w:rPr>
          <w:rFonts w:ascii="Arial" w:hAnsi="Arial" w:cs="Arial"/>
          <w:b/>
          <w:bCs/>
          <w:sz w:val="22"/>
          <w:szCs w:val="22"/>
        </w:rPr>
        <w:t xml:space="preserve"> *</w:t>
      </w:r>
    </w:p>
    <w:p>
      <w:pPr>
        <w:spacing w:before="0" w:after="140" w:line="264" w:lineRule="auto"/>
        <w:jc w:val="both"/>
      </w:pPr>
      <w:r>
        <w:rPr>
          <w:rFonts w:ascii="Arial" w:hAnsi="Arial" w:cs="Arial"/>
          <w:sz w:val="20"/>
          <w:szCs w:val="20"/>
        </w:rPr>
        <w:t xml:space="preserve">ULAP supports a more coherent, digital, and time-bound land-use planning system. The EO should be revised to streamline coordination without weakening local autonomy, overloading LGUs, or creating penalties before national agencies have supplied the data, tools, and technical support necessary for compliance.</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jc w:val="center"/>
    </w:pPr>
    <w:r/>
    <w:r>
      <w:rPr>
        <w:color w:val="8A93A3"/>
        <w:sz w:val="16"/>
      </w:rPr>
      <w:t>ULAP Internal Document — Not for circulation without NEB Board approval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