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PHILIPPINE ENVIRONMENTAL ASSESSMENT SYSTEM</w:t>
      </w:r>
    </w:p>
    <w:p>
      <w:pPr>
        <w:spacing w:before="40" w:after="200" w:line="264" w:lineRule="auto"/>
        <w:jc w:val="center"/>
      </w:pPr>
      <w:r>
        <w:rPr>
          <w:rFonts w:ascii="Arial" w:hAnsi="Arial" w:cs="Arial"/>
          <w:b/>
          <w:bCs/>
          <w:sz w:val="24"/>
          <w:szCs w:val="24"/>
        </w:rPr>
        <w:t xml:space="preserve">AND NATIONAL ENVIRONMENTAL PROTECTION AGENCY BILLS</w:t>
      </w:r>
    </w:p>
    <w:p>
      <w:pPr>
        <w:spacing w:before="0" w:after="140" w:line="264" w:lineRule="auto"/>
        <w:jc w:val="both"/>
      </w:pPr>
      <w:r>
        <w:rPr>
          <w:rFonts w:ascii="Arial" w:hAnsi="Arial" w:cs="Arial"/>
          <w:sz w:val="20"/>
          <w:szCs w:val="20"/>
        </w:rPr>
        <w:t xml:space="preserve">ULAP supports the objective of strengthening environmental assessment, environmental management, and compliance monitoring. A clearer Philippine Environmental Assessment System and a stronger environmental-management institution can improve project screening, reduce regulatory uncertainty, and protect communities from avoidable environmental harm.</w:t>
      </w:r>
    </w:p>
    <w:p>
      <w:pPr>
        <w:spacing w:before="0" w:after="140" w:line="264" w:lineRule="auto"/>
        <w:jc w:val="both"/>
      </w:pPr>
      <w:r>
        <w:rPr>
          <w:rFonts w:ascii="Arial" w:hAnsi="Arial" w:cs="Arial"/>
          <w:sz w:val="20"/>
          <w:szCs w:val="20"/>
        </w:rPr>
        <w:t xml:space="preserve">ULAP may support the measures in principle, subject to amendments ensuring that the proposed system preserves LGU authority, avoids duplicative permitting, provides funded capacity support, requires meaningful local consultation, and sets clear timelines for projects that are necessary for local services, climate adaptation, disaster-risk reduction, and basic infrastructure.</w:t>
      </w:r>
    </w:p>
    <w:p>
      <w:pPr>
        <w:keepNext/>
        <w:spacing w:before="220" w:after="100" w:line="264" w:lineRule="auto"/>
        <w:jc w:val="left"/>
      </w:pPr>
      <w:r>
        <w:rPr>
          <w:rFonts w:ascii="Arial" w:hAnsi="Arial" w:cs="Arial"/>
          <w:b/>
          <w:bCs/>
          <w:sz w:val="20"/>
          <w:szCs w:val="20"/>
        </w:rPr>
        <w:t xml:space="preserve">Key LGU Considerations</w:t>
      </w:r>
    </w:p>
    <w:p>
      <w:pPr>
        <w:keepNext/>
        <w:spacing w:before="180" w:after="90" w:line="264" w:lineRule="auto"/>
        <w:jc w:val="both"/>
      </w:pPr>
      <w:r>
        <w:rPr>
          <w:rFonts w:ascii="Arial" w:hAnsi="Arial" w:cs="Arial"/>
          <w:b/>
          <w:bCs/>
          <w:sz w:val="20"/>
          <w:szCs w:val="20"/>
        </w:rPr>
        <w:t xml:space="preserve">Local environmental governance.</w:t>
      </w:r>
    </w:p>
    <w:p>
      <w:pPr>
        <w:spacing w:before="0" w:after="140" w:line="264" w:lineRule="auto"/>
        <w:jc w:val="both"/>
      </w:pPr>
      <w:r>
        <w:rPr>
          <w:rFonts w:ascii="Arial" w:hAnsi="Arial" w:cs="Arial"/>
          <w:sz w:val="20"/>
          <w:szCs w:val="20"/>
        </w:rPr>
        <w:t xml:space="preserve">LGUs exercise powers relating to land use, zoning, sanitation, solid waste, local permits, local disaster-risk reduction, climate adaptation, and community consultation. National environmental assessment rules should complement these functions rather than override or duplicate them.</w:t>
      </w:r>
    </w:p>
    <w:p>
      <w:pPr>
        <w:keepNext/>
        <w:spacing w:before="180" w:after="90" w:line="264" w:lineRule="auto"/>
        <w:jc w:val="both"/>
      </w:pPr>
      <w:r>
        <w:rPr>
          <w:rFonts w:ascii="Arial" w:hAnsi="Arial" w:cs="Arial"/>
          <w:b/>
          <w:bCs/>
          <w:sz w:val="20"/>
          <w:szCs w:val="20"/>
        </w:rPr>
        <w:t xml:space="preserve">Provincial and regional presence.</w:t>
      </w:r>
    </w:p>
    <w:p>
      <w:pPr>
        <w:spacing w:before="0" w:after="140" w:line="264" w:lineRule="auto"/>
        <w:jc w:val="both"/>
      </w:pPr>
      <w:r>
        <w:rPr>
          <w:rFonts w:ascii="Arial" w:hAnsi="Arial" w:cs="Arial"/>
          <w:sz w:val="20"/>
          <w:szCs w:val="20"/>
        </w:rPr>
        <w:t xml:space="preserve">Proposed national or provincial environmental offices should coordinate with LGU environment and natural-resources offices, planning offices, engineering offices, and local DRRM offices through defined referral and information-sharing protocols.</w:t>
      </w:r>
    </w:p>
    <w:p>
      <w:pPr>
        <w:keepNext/>
        <w:spacing w:before="180" w:after="90" w:line="264" w:lineRule="auto"/>
        <w:jc w:val="both"/>
      </w:pPr>
      <w:r>
        <w:rPr>
          <w:rFonts w:ascii="Arial" w:hAnsi="Arial" w:cs="Arial"/>
          <w:b/>
          <w:bCs/>
          <w:sz w:val="20"/>
          <w:szCs w:val="20"/>
        </w:rPr>
        <w:t xml:space="preserve">Permitting certainty.</w:t>
      </w:r>
    </w:p>
    <w:p>
      <w:pPr>
        <w:spacing w:before="0" w:after="140" w:line="264" w:lineRule="auto"/>
        <w:jc w:val="both"/>
      </w:pPr>
      <w:r>
        <w:rPr>
          <w:rFonts w:ascii="Arial" w:hAnsi="Arial" w:cs="Arial"/>
          <w:sz w:val="20"/>
          <w:szCs w:val="20"/>
        </w:rPr>
        <w:t xml:space="preserve">Environmental assessment should be rigorous but predictable. Undefined review loops or overlapping clearances can delay LGU infrastructure, water, sanitation, health, transport, housing, and resilience projects.</w:t>
      </w:r>
    </w:p>
    <w:p>
      <w:pPr>
        <w:keepNext/>
        <w:spacing w:before="180" w:after="90" w:line="264" w:lineRule="auto"/>
        <w:jc w:val="both"/>
      </w:pPr>
      <w:r>
        <w:rPr>
          <w:rFonts w:ascii="Arial" w:hAnsi="Arial" w:cs="Arial"/>
          <w:b/>
          <w:bCs/>
          <w:sz w:val="20"/>
          <w:szCs w:val="20"/>
        </w:rPr>
        <w:t xml:space="preserve">Community participation.</w:t>
      </w:r>
    </w:p>
    <w:p>
      <w:pPr>
        <w:spacing w:before="0" w:after="140" w:line="264" w:lineRule="auto"/>
        <w:jc w:val="both"/>
      </w:pPr>
      <w:r>
        <w:rPr>
          <w:rFonts w:ascii="Arial" w:hAnsi="Arial" w:cs="Arial"/>
          <w:sz w:val="20"/>
          <w:szCs w:val="20"/>
        </w:rPr>
        <w:t xml:space="preserve">Local consultation must be built into assessment, monitoring, and compliance processes, especially where projects affect indigenous peoples, farmers, fisherfolk, coastal communities, informal settlers, or hazard-prone barangays.</w:t>
      </w:r>
    </w:p>
    <w:p>
      <w:pPr>
        <w:keepNext/>
        <w:spacing w:before="180" w:after="90" w:line="264" w:lineRule="auto"/>
        <w:jc w:val="both"/>
      </w:pPr>
      <w:r>
        <w:rPr>
          <w:rFonts w:ascii="Arial" w:hAnsi="Arial" w:cs="Arial"/>
          <w:b/>
          <w:bCs/>
          <w:sz w:val="20"/>
          <w:szCs w:val="20"/>
        </w:rPr>
        <w:t xml:space="preserve">Funding and technical assistance.</w:t>
      </w:r>
    </w:p>
    <w:p>
      <w:pPr>
        <w:spacing w:before="0" w:after="140" w:line="264" w:lineRule="auto"/>
        <w:jc w:val="both"/>
      </w:pPr>
      <w:r>
        <w:rPr>
          <w:rFonts w:ascii="Arial" w:hAnsi="Arial" w:cs="Arial"/>
          <w:sz w:val="20"/>
          <w:szCs w:val="20"/>
        </w:rPr>
        <w:t xml:space="preserve">If LGUs are expected to participate in monitoring, data collection, inspections, or public consultations, the measure should provide national funding, templates, training, and technical support.</w:t>
      </w:r>
    </w:p>
    <w:p>
      <w:pPr>
        <w:keepNext/>
        <w:spacing w:before="220" w:after="100" w:line="264" w:lineRule="auto"/>
        <w:jc w:val="left"/>
      </w:pPr>
      <w:r>
        <w:rPr>
          <w:rFonts w:ascii="Arial" w:hAnsi="Arial" w:cs="Arial"/>
          <w:b/>
          <w:bCs/>
          <w:sz w:val="20"/>
          <w:szCs w:val="20"/>
        </w:rPr>
        <w:t xml:space="preserve">Recommended Comments and Revisions</w:t>
      </w:r>
    </w:p>
    <w:p>
      <w:pPr>
        <w:spacing w:before="0" w:after="140" w:line="264" w:lineRule="auto"/>
        <w:jc w:val="both"/>
      </w:pPr>
      <w:r>
        <w:rPr>
          <w:rFonts w:ascii="Arial" w:hAnsi="Arial" w:cs="Arial"/>
          <w:sz w:val="20"/>
          <w:szCs w:val="20"/>
        </w:rPr>
        <w:t xml:space="preserve">Insert a local-autonomy safeguard stating that the PEAS and any national environmental agency shall not diminish powers vested in LGUs under existing laws, including land-use planning, zoning, local permitting, and local environmental management.</w:t>
      </w:r>
    </w:p>
    <w:p>
      <w:pPr>
        <w:spacing w:before="0" w:after="140" w:line="264" w:lineRule="auto"/>
        <w:jc w:val="both"/>
      </w:pPr>
      <w:r>
        <w:rPr>
          <w:rFonts w:ascii="Arial" w:hAnsi="Arial" w:cs="Arial"/>
          <w:sz w:val="20"/>
          <w:szCs w:val="20"/>
        </w:rPr>
        <w:t xml:space="preserve">Require early notice to affected LGUs and mandatory coordination with the province, city, municipality, and barangay where a project is located before final environmental clearance or denial is issued.</w:t>
      </w:r>
    </w:p>
    <w:p>
      <w:pPr>
        <w:spacing w:before="0" w:after="140" w:line="264" w:lineRule="auto"/>
        <w:jc w:val="both"/>
      </w:pPr>
      <w:r>
        <w:rPr>
          <w:rFonts w:ascii="Arial" w:hAnsi="Arial" w:cs="Arial"/>
          <w:sz w:val="20"/>
          <w:szCs w:val="20"/>
        </w:rPr>
        <w:t xml:space="preserve">Make assessment procedures risk-based and proportionate, with clear categories, documentary requirements, processing timelines, and appeal or reconsideration mechanisms.</w:t>
      </w:r>
    </w:p>
    <w:p>
      <w:pPr>
        <w:spacing w:before="0" w:after="140" w:line="264" w:lineRule="auto"/>
        <w:jc w:val="both"/>
      </w:pPr>
      <w:r>
        <w:rPr>
          <w:rFonts w:ascii="Arial" w:hAnsi="Arial" w:cs="Arial"/>
          <w:sz w:val="20"/>
          <w:szCs w:val="20"/>
        </w:rPr>
        <w:t xml:space="preserve">Provide expedited but safeguards-compliant pathways for local public infrastructure, climate-adaptation, disaster-risk-reduction, health, water, sanitation, and emergency projects.</w:t>
      </w:r>
    </w:p>
    <w:p>
      <w:pPr>
        <w:spacing w:before="0" w:after="140" w:line="264" w:lineRule="auto"/>
        <w:jc w:val="both"/>
      </w:pPr>
      <w:r>
        <w:rPr>
          <w:rFonts w:ascii="Arial" w:hAnsi="Arial" w:cs="Arial"/>
          <w:sz w:val="20"/>
          <w:szCs w:val="20"/>
        </w:rPr>
        <w:t xml:space="preserve">Clarify that any new local role in monitoring, inspection, consultation, or data submission must be supported by national funding, capacity-building, and standard operating procedures.</w:t>
      </w:r>
    </w:p>
    <w:p>
      <w:pPr>
        <w:spacing w:before="0" w:after="140" w:line="264" w:lineRule="auto"/>
        <w:jc w:val="both"/>
      </w:pPr>
      <w:r>
        <w:rPr>
          <w:rFonts w:ascii="Arial" w:hAnsi="Arial" w:cs="Arial"/>
          <w:sz w:val="20"/>
          <w:szCs w:val="20"/>
        </w:rPr>
        <w:t xml:space="preserve">Require interoperable digital systems and public registries that allow LGUs to access project status, conditions, compliance reports, and environmental data relevant to local planning.</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stronger environmental governance, provided the bills are refined to make national assessment more predictable, locally coordinated, and implementation-ready. Environmental protection will be stronger where LGUs are treated as institutional partners rather than unfunded implementers or passive consultees.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