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ZERO-BALANCE BILLING AND</w:t>
      </w:r>
    </w:p>
    <w:p>
      <w:pPr>
        <w:spacing w:before="40" w:after="200" w:line="264" w:lineRule="auto"/>
        <w:jc w:val="center"/>
      </w:pPr>
      <w:r>
        <w:rPr>
          <w:rFonts w:ascii="Arial" w:hAnsi="Arial" w:cs="Arial"/>
          <w:b/>
          <w:bCs/>
          <w:sz w:val="24"/>
          <w:szCs w:val="24"/>
        </w:rPr>
        <w:t xml:space="preserve">EMERGENCY MEDICAL SERVICES SYSTEM BILLS</w:t>
      </w:r>
    </w:p>
    <w:p>
      <w:pPr>
        <w:keepNext/>
        <w:spacing w:before="220" w:after="100" w:line="264" w:lineRule="auto"/>
        <w:jc w:val="left"/>
      </w:pPr>
      <w:r>
        <w:rPr>
          <w:rFonts w:ascii="Arial" w:hAnsi="Arial" w:cs="Arial"/>
          <w:b/>
          <w:bCs/>
          <w:sz w:val="20"/>
          <w:szCs w:val="20"/>
        </w:rPr>
        <w:t xml:space="preserve">Position</w:t>
      </w:r>
    </w:p>
    <w:p>
      <w:pPr>
        <w:spacing w:before="0" w:after="140" w:line="264" w:lineRule="auto"/>
        <w:jc w:val="both"/>
      </w:pPr>
      <w:r>
        <w:rPr>
          <w:rFonts w:ascii="Arial" w:hAnsi="Arial" w:cs="Arial"/>
          <w:sz w:val="20"/>
          <w:szCs w:val="20"/>
        </w:rPr>
        <w:t xml:space="preserve">The Union of Local Authorities of the Philippines (ULAP) supports the objectives of reducing out-of-pocket health expenses and building a coherent emergency medical services system. These reforms matter to local governments because LGU hospitals, rural health units, city and municipal health offices, local DRRM offices, ambulance services, and emergency-response teams are often the first point of contact for patients.</w:t>
      </w:r>
    </w:p>
    <w:p>
      <w:pPr>
        <w:spacing w:before="0" w:after="140" w:line="264" w:lineRule="auto"/>
        <w:jc w:val="both"/>
      </w:pPr>
      <w:r>
        <w:rPr>
          <w:rFonts w:ascii="Arial" w:hAnsi="Arial" w:cs="Arial"/>
          <w:sz w:val="20"/>
          <w:szCs w:val="20"/>
        </w:rPr>
        <w:t xml:space="preserve">ULAP is prepared to support the measures in principle, subject to clear national financing, realistic implementation timelines, protection of LGU hospital cash flow, integration with existing local emergency-response systems, and adequate funding for personnel, ambulances, dispatch, communications, training, and data systems.</w:t>
      </w:r>
    </w:p>
    <w:p>
      <w:pPr>
        <w:keepNext/>
        <w:spacing w:before="220" w:after="100" w:line="264" w:lineRule="auto"/>
        <w:jc w:val="left"/>
      </w:pPr>
      <w:r>
        <w:rPr>
          <w:rFonts w:ascii="Arial" w:hAnsi="Arial" w:cs="Arial"/>
          <w:b/>
          <w:bCs/>
          <w:sz w:val="20"/>
          <w:szCs w:val="20"/>
        </w:rPr>
        <w:t xml:space="preserve">Key LGU Considerations</w:t>
      </w:r>
    </w:p>
    <w:p>
      <w:pPr>
        <w:keepNext/>
        <w:spacing w:before="180" w:after="90" w:line="264" w:lineRule="auto"/>
        <w:jc w:val="both"/>
      </w:pPr>
      <w:r>
        <w:rPr>
          <w:rFonts w:ascii="Arial" w:hAnsi="Arial" w:cs="Arial"/>
          <w:b/>
          <w:bCs/>
          <w:sz w:val="20"/>
          <w:szCs w:val="20"/>
        </w:rPr>
        <w:t xml:space="preserve">LGU hospital finances.</w:t>
      </w:r>
    </w:p>
    <w:p>
      <w:pPr>
        <w:spacing w:before="0" w:after="140" w:line="264" w:lineRule="auto"/>
        <w:jc w:val="both"/>
      </w:pPr>
      <w:r>
        <w:rPr>
          <w:rFonts w:ascii="Arial" w:hAnsi="Arial" w:cs="Arial"/>
          <w:sz w:val="20"/>
          <w:szCs w:val="20"/>
        </w:rPr>
        <w:t xml:space="preserve">A zero-balance billing policy should not force LGU-run hospitals to absorb costs while waiting for delayed reimbursement. Reimbursement rules should be clear, prompt, and backed by national funds and PhilHealth payment mechanisms.</w:t>
      </w:r>
    </w:p>
    <w:p>
      <w:pPr>
        <w:keepNext/>
        <w:spacing w:before="180" w:after="90" w:line="264" w:lineRule="auto"/>
        <w:jc w:val="both"/>
      </w:pPr>
      <w:r>
        <w:rPr>
          <w:rFonts w:ascii="Arial" w:hAnsi="Arial" w:cs="Arial"/>
          <w:b/>
          <w:bCs/>
          <w:sz w:val="20"/>
          <w:szCs w:val="20"/>
        </w:rPr>
        <w:t xml:space="preserve">Scope and eligibility.</w:t>
      </w:r>
    </w:p>
    <w:p>
      <w:pPr>
        <w:spacing w:before="0" w:after="140" w:line="264" w:lineRule="auto"/>
        <w:jc w:val="both"/>
      </w:pPr>
      <w:r>
        <w:rPr>
          <w:rFonts w:ascii="Arial" w:hAnsi="Arial" w:cs="Arial"/>
          <w:sz w:val="20"/>
          <w:szCs w:val="20"/>
        </w:rPr>
        <w:t xml:space="preserve">Covered services, patient categories, facility obligations, balance-billing limits, and exceptions must be clearly defined so local hospitals and health offices can implement the policy consistently.</w:t>
      </w:r>
    </w:p>
    <w:p>
      <w:pPr>
        <w:keepNext/>
        <w:spacing w:before="180" w:after="90" w:line="264" w:lineRule="auto"/>
        <w:jc w:val="both"/>
      </w:pPr>
      <w:r>
        <w:rPr>
          <w:rFonts w:ascii="Arial" w:hAnsi="Arial" w:cs="Arial"/>
          <w:b/>
          <w:bCs/>
          <w:sz w:val="20"/>
          <w:szCs w:val="20"/>
        </w:rPr>
        <w:t xml:space="preserve">EMS integration.</w:t>
      </w:r>
    </w:p>
    <w:p>
      <w:pPr>
        <w:spacing w:before="0" w:after="140" w:line="264" w:lineRule="auto"/>
        <w:jc w:val="both"/>
      </w:pPr>
      <w:r>
        <w:rPr>
          <w:rFonts w:ascii="Arial" w:hAnsi="Arial" w:cs="Arial"/>
          <w:sz w:val="20"/>
          <w:szCs w:val="20"/>
        </w:rPr>
        <w:t xml:space="preserve">A national EMS system should build on local DRRM, health, ambulance, rescue, 911 or emergency-number systems, barangay response, private hospitals, BFP, PNP, and other local actors rather than create parallel command structures.</w:t>
      </w:r>
    </w:p>
    <w:p>
      <w:pPr>
        <w:keepNext/>
        <w:spacing w:before="180" w:after="90" w:line="264" w:lineRule="auto"/>
        <w:jc w:val="both"/>
      </w:pPr>
      <w:r>
        <w:rPr>
          <w:rFonts w:ascii="Arial" w:hAnsi="Arial" w:cs="Arial"/>
          <w:b/>
          <w:bCs/>
          <w:sz w:val="20"/>
          <w:szCs w:val="20"/>
        </w:rPr>
        <w:t xml:space="preserve">Capacity differences.</w:t>
      </w:r>
    </w:p>
    <w:p>
      <w:pPr>
        <w:spacing w:before="0" w:after="140" w:line="264" w:lineRule="auto"/>
        <w:jc w:val="both"/>
      </w:pPr>
      <w:r>
        <w:rPr>
          <w:rFonts w:ascii="Arial" w:hAnsi="Arial" w:cs="Arial"/>
          <w:sz w:val="20"/>
          <w:szCs w:val="20"/>
        </w:rPr>
        <w:t xml:space="preserve">EMS standards should be nationally consistent yet scalable to island, upland, highly urbanized, component city, municipal, and geographically isolated settings.</w:t>
      </w:r>
    </w:p>
    <w:p>
      <w:pPr>
        <w:keepNext/>
        <w:spacing w:before="180" w:after="90" w:line="264" w:lineRule="auto"/>
        <w:jc w:val="both"/>
      </w:pPr>
      <w:r>
        <w:rPr>
          <w:rFonts w:ascii="Arial" w:hAnsi="Arial" w:cs="Arial"/>
          <w:b/>
          <w:bCs/>
          <w:sz w:val="20"/>
          <w:szCs w:val="20"/>
        </w:rPr>
        <w:t xml:space="preserve">Workforce and equipment.</w:t>
      </w:r>
    </w:p>
    <w:p>
      <w:pPr>
        <w:spacing w:before="0" w:after="140" w:line="264" w:lineRule="auto"/>
        <w:jc w:val="both"/>
      </w:pPr>
      <w:r>
        <w:rPr>
          <w:rFonts w:ascii="Arial" w:hAnsi="Arial" w:cs="Arial"/>
          <w:sz w:val="20"/>
          <w:szCs w:val="20"/>
        </w:rPr>
        <w:t xml:space="preserve">EMS duties require trained personnel, dispatch protocols, ambulances, communications equipment, maintenance budgets, liability rules, and occupational safety protections.</w:t>
      </w:r>
    </w:p>
    <w:p>
      <w:pPr>
        <w:keepNext/>
        <w:spacing w:before="220" w:after="100" w:line="264" w:lineRule="auto"/>
        <w:jc w:val="left"/>
      </w:pPr>
      <w:r>
        <w:rPr>
          <w:rFonts w:ascii="Arial" w:hAnsi="Arial" w:cs="Arial"/>
          <w:b/>
          <w:bCs/>
          <w:sz w:val="20"/>
          <w:szCs w:val="20"/>
        </w:rPr>
        <w:t xml:space="preserve">Recommended Comments and Revisions</w:t>
      </w:r>
    </w:p>
    <w:p>
      <w:pPr>
        <w:spacing w:before="0" w:after="140" w:line="264" w:lineRule="auto"/>
        <w:jc w:val="both"/>
      </w:pPr>
      <w:r>
        <w:rPr>
          <w:rFonts w:ascii="Arial" w:hAnsi="Arial" w:cs="Arial"/>
          <w:sz w:val="20"/>
          <w:szCs w:val="20"/>
        </w:rPr>
        <w:t xml:space="preserve">ULAP recommends that zero-balance billing obligations imposed on LGU hospitals be matched by national appropriations, PhilHealth coverage, automatic reimbursement mechanisms, and penalties for payment delays that impair hospital operations.</w:t>
      </w:r>
    </w:p>
    <w:p>
      <w:pPr>
        <w:spacing w:before="0" w:after="140" w:line="264" w:lineRule="auto"/>
        <w:jc w:val="both"/>
      </w:pPr>
      <w:r>
        <w:rPr>
          <w:rFonts w:ascii="Arial" w:hAnsi="Arial" w:cs="Arial"/>
          <w:sz w:val="20"/>
          <w:szCs w:val="20"/>
        </w:rPr>
        <w:t xml:space="preserve">The bills should require an implementation plan identifying covered benefits, facility classes, claims procedures, documentation, reimbursement timelines, audit rules, and transition arrangements for LGU-run facilities.</w:t>
      </w:r>
    </w:p>
    <w:p>
      <w:pPr>
        <w:spacing w:before="0" w:after="140" w:line="264" w:lineRule="auto"/>
        <w:jc w:val="both"/>
      </w:pPr>
      <w:r>
        <w:rPr>
          <w:rFonts w:ascii="Arial" w:hAnsi="Arial" w:cs="Arial"/>
          <w:sz w:val="20"/>
          <w:szCs w:val="20"/>
        </w:rPr>
        <w:t xml:space="preserve">The EMS system's relationship with local DRRM councils, local health boards, health offices, hospitals, rescue units, barangay emergency responders, and existing emergency hotlines should be defined.</w:t>
      </w:r>
    </w:p>
    <w:p>
      <w:pPr>
        <w:spacing w:before="0" w:after="140" w:line="264" w:lineRule="auto"/>
        <w:jc w:val="both"/>
      </w:pPr>
      <w:r>
        <w:rPr>
          <w:rFonts w:ascii="Arial" w:hAnsi="Arial" w:cs="Arial"/>
          <w:sz w:val="20"/>
          <w:szCs w:val="20"/>
        </w:rPr>
        <w:t xml:space="preserve">Capital and operating grants should be provided for ambulances, dispatch centers, communications systems, training, continuing certification, protective equipment, and rural or island response models.</w:t>
      </w:r>
    </w:p>
    <w:p>
      <w:pPr>
        <w:spacing w:before="0" w:after="140" w:line="264" w:lineRule="auto"/>
        <w:jc w:val="both"/>
      </w:pPr>
      <w:r>
        <w:rPr>
          <w:rFonts w:ascii="Arial" w:hAnsi="Arial" w:cs="Arial"/>
          <w:sz w:val="20"/>
          <w:szCs w:val="20"/>
        </w:rPr>
        <w:t xml:space="preserve">Phased compliance should be allowed based on LGU classification, geography, fiscal capacity, facility level, and existing local emergency-response capability.</w:t>
      </w:r>
    </w:p>
    <w:p>
      <w:pPr>
        <w:spacing w:before="0" w:after="140" w:line="264" w:lineRule="auto"/>
        <w:jc w:val="both"/>
      </w:pPr>
      <w:r>
        <w:rPr>
          <w:rFonts w:ascii="Arial" w:hAnsi="Arial" w:cs="Arial"/>
          <w:sz w:val="20"/>
          <w:szCs w:val="20"/>
        </w:rPr>
        <w:t xml:space="preserve">Data-sharing, patient-privacy, referral, and inter-facility transfer protocols should be workable by local responders and hospitals.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patient-protection and emergency-care objectives of the bills. The final measures should be designed so that LGUs can implement them without fiscal distress, fragmented command lines, or unfunded operational duties.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