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HOUSE RESOLUTION NO. 569</w:t>
      </w:r>
    </w:p>
    <w:p>
      <w:pPr>
        <w:spacing w:before="40" w:after="200" w:line="264" w:lineRule="auto"/>
        <w:jc w:val="center"/>
      </w:pPr>
      <w:r>
        <w:rPr>
          <w:rFonts w:ascii="Arial" w:hAnsi="Arial" w:cs="Arial"/>
          <w:b/>
          <w:bCs/>
          <w:sz w:val="24"/>
          <w:szCs w:val="24"/>
        </w:rPr>
        <w:t xml:space="preserve">DECLARING A DISASTER AND CLIMATE EMERGENCY</w:t>
      </w:r>
    </w:p>
    <w:p>
      <w:pPr>
        <w:keepNext/>
        <w:spacing w:before="220" w:after="100" w:line="264" w:lineRule="auto"/>
        <w:jc w:val="left"/>
      </w:pPr>
      <w:r>
        <w:rPr>
          <w:rFonts w:ascii="Arial" w:hAnsi="Arial" w:cs="Arial"/>
          <w:b/>
          <w:bCs/>
          <w:sz w:val="20"/>
          <w:szCs w:val="20"/>
        </w:rPr>
        <w:t xml:space="preserve">Position</w:t>
      </w:r>
    </w:p>
    <w:p>
      <w:pPr>
        <w:spacing w:before="0" w:after="140" w:line="264" w:lineRule="auto"/>
        <w:jc w:val="both"/>
      </w:pPr>
      <w:r>
        <w:rPr>
          <w:rFonts w:ascii="Arial" w:hAnsi="Arial" w:cs="Arial"/>
          <w:sz w:val="20"/>
          <w:szCs w:val="20"/>
        </w:rPr>
        <w:t xml:space="preserve">The Union of Local Authorities of the Philippines (ULAP) supports the policy intent of House Resolution No. 569, which seeks to declare a disaster and climate emergency and affirm the Philippines' call for climate justice and urgent risk-informed governance.</w:t>
      </w:r>
    </w:p>
    <w:p>
      <w:pPr>
        <w:spacing w:before="0" w:after="140" w:line="264" w:lineRule="auto"/>
        <w:jc w:val="both"/>
      </w:pPr>
      <w:r>
        <w:rPr>
          <w:rFonts w:ascii="Arial" w:hAnsi="Arial" w:cs="Arial"/>
          <w:sz w:val="20"/>
          <w:szCs w:val="20"/>
        </w:rPr>
        <w:t xml:space="preserve">Local governments are on the front line of climate impacts, including flooding, landslides, drought, storm surge, sea-level rise, heat stress, agricultural loss, water insecurity, and displacement. A national declaration should therefore translate into concrete support for local risk reduction, adaptation, resilient infrastructure, and climate-responsive public services.</w:t>
      </w:r>
    </w:p>
    <w:p>
      <w:pPr>
        <w:keepNext/>
        <w:spacing w:before="220" w:after="100" w:line="264" w:lineRule="auto"/>
        <w:jc w:val="left"/>
      </w:pPr>
      <w:r>
        <w:rPr>
          <w:rFonts w:ascii="Arial" w:hAnsi="Arial" w:cs="Arial"/>
          <w:b/>
          <w:bCs/>
          <w:sz w:val="20"/>
          <w:szCs w:val="20"/>
        </w:rPr>
        <w:t xml:space="preserve">Key LGU Considerations</w:t>
      </w:r>
    </w:p>
    <w:p>
      <w:pPr>
        <w:spacing w:before="0" w:after="140" w:line="264" w:lineRule="auto"/>
        <w:jc w:val="both"/>
      </w:pPr>
      <w:r>
        <w:rPr>
          <w:rFonts w:ascii="Arial" w:hAnsi="Arial" w:cs="Arial"/>
          <w:sz w:val="20"/>
          <w:szCs w:val="20"/>
        </w:rPr>
        <w:t xml:space="preserve">A disaster and climate emergency declaration should be operational rather than symbolic. It should guide national budgeting, planning, procurement flexibility, risk-informed land use, infrastructure standards, and climate finance access for LGUs.</w:t>
      </w:r>
    </w:p>
    <w:p>
      <w:pPr>
        <w:spacing w:before="0" w:after="140" w:line="264" w:lineRule="auto"/>
        <w:jc w:val="both"/>
      </w:pPr>
      <w:r>
        <w:rPr>
          <w:rFonts w:ascii="Arial" w:hAnsi="Arial" w:cs="Arial"/>
          <w:sz w:val="20"/>
          <w:szCs w:val="20"/>
        </w:rPr>
        <w:t xml:space="preserve">Risk-informed governance must be locally implementable. LGUs need updated hazard maps, climate-risk data, early-warning systems, local adaptation planning tools, and technical support for integrating climate risk into CLUPs, DRRM plans, investment plans, and sectoral plans.</w:t>
      </w:r>
    </w:p>
    <w:p>
      <w:pPr>
        <w:spacing w:before="0" w:after="140" w:line="264" w:lineRule="auto"/>
        <w:jc w:val="both"/>
      </w:pPr>
      <w:r>
        <w:rPr>
          <w:rFonts w:ascii="Arial" w:hAnsi="Arial" w:cs="Arial"/>
          <w:sz w:val="20"/>
          <w:szCs w:val="20"/>
        </w:rPr>
        <w:t xml:space="preserve">Climate justice requires support for vulnerable localities and communities, including small island, upland, coastal, riverine, agricultural, urban poor, and disaster-prone LGUs with limited fiscal capacity.</w:t>
      </w:r>
    </w:p>
    <w:p>
      <w:pPr>
        <w:spacing w:before="0" w:after="140" w:line="264" w:lineRule="auto"/>
        <w:jc w:val="both"/>
      </w:pPr>
      <w:r>
        <w:rPr>
          <w:rFonts w:ascii="Arial" w:hAnsi="Arial" w:cs="Arial"/>
          <w:sz w:val="20"/>
          <w:szCs w:val="20"/>
        </w:rPr>
        <w:t xml:space="preserve">National agencies should align programs and funds with LGU priorities, avoid fragmented reporting burdens, and provide predictable channels for adaptation, mitigation, loss-and-damage, relocation, and resilience investments.</w:t>
      </w:r>
    </w:p>
    <w:p>
      <w:pPr>
        <w:spacing w:before="0" w:after="140" w:line="264" w:lineRule="auto"/>
        <w:jc w:val="both"/>
      </w:pPr>
      <w:r>
        <w:rPr>
          <w:rFonts w:ascii="Arial" w:hAnsi="Arial" w:cs="Arial"/>
          <w:sz w:val="20"/>
          <w:szCs w:val="20"/>
        </w:rPr>
        <w:t xml:space="preserve">The resolution should encourage coordination with leagues of LGUs so that national climate policy reflects implementation realities across provinces, cities, municipalities, and barangays.</w:t>
      </w:r>
    </w:p>
    <w:p>
      <w:pPr>
        <w:keepNext/>
        <w:spacing w:before="220" w:after="100" w:line="264" w:lineRule="auto"/>
        <w:jc w:val="left"/>
      </w:pPr>
      <w:r>
        <w:rPr>
          <w:rFonts w:ascii="Arial" w:hAnsi="Arial" w:cs="Arial"/>
          <w:b/>
          <w:bCs/>
          <w:sz w:val="20"/>
          <w:szCs w:val="20"/>
        </w:rPr>
        <w:t xml:space="preserve">Recommended Comments</w:t>
      </w:r>
    </w:p>
    <w:p>
      <w:pPr>
        <w:spacing w:before="0" w:after="140" w:line="264" w:lineRule="auto"/>
        <w:jc w:val="both"/>
      </w:pPr>
      <w:r>
        <w:rPr>
          <w:rFonts w:ascii="Arial" w:hAnsi="Arial" w:cs="Arial"/>
          <w:sz w:val="20"/>
          <w:szCs w:val="20"/>
        </w:rPr>
        <w:t xml:space="preserve">ULAP recommends supporting HR 569 with language directing national agencies to prioritize LGU access to climate adaptation finance, resilient infrastructure funding, technical assistance, and updated risk data.</w:t>
      </w:r>
    </w:p>
    <w:p>
      <w:pPr>
        <w:spacing w:before="0" w:after="140" w:line="264" w:lineRule="auto"/>
        <w:jc w:val="both"/>
      </w:pPr>
      <w:r>
        <w:rPr>
          <w:rFonts w:ascii="Arial" w:hAnsi="Arial" w:cs="Arial"/>
          <w:sz w:val="20"/>
          <w:szCs w:val="20"/>
        </w:rPr>
        <w:t xml:space="preserve">A clear national-local implementation framework should link the declaration to DRRM, climate-change adaptation, land-use planning, food security, water security, public health, and social-protection systems.</w:t>
      </w:r>
    </w:p>
    <w:p>
      <w:pPr>
        <w:spacing w:before="0" w:after="140" w:line="264" w:lineRule="auto"/>
        <w:jc w:val="both"/>
      </w:pPr>
      <w:r>
        <w:rPr>
          <w:rFonts w:ascii="Arial" w:hAnsi="Arial" w:cs="Arial"/>
          <w:sz w:val="20"/>
          <w:szCs w:val="20"/>
        </w:rPr>
        <w:t xml:space="preserve">The role of LGU leagues in consultations, implementation monitoring, and identifying barriers faced by different classes and geographies of LGUs should be recognized.</w:t>
      </w:r>
    </w:p>
    <w:p>
      <w:pPr>
        <w:spacing w:before="0" w:after="140" w:line="264" w:lineRule="auto"/>
        <w:jc w:val="both"/>
      </w:pPr>
      <w:r>
        <w:rPr>
          <w:rFonts w:ascii="Arial" w:hAnsi="Arial" w:cs="Arial"/>
          <w:sz w:val="20"/>
          <w:szCs w:val="20"/>
        </w:rPr>
        <w:t xml:space="preserve">New reporting, planning, or compliance expectations under the emergency framework should not become unfunded mandates.</w:t>
      </w:r>
    </w:p>
    <w:p>
      <w:pPr>
        <w:spacing w:before="0" w:after="140" w:line="264" w:lineRule="auto"/>
        <w:jc w:val="both"/>
      </w:pPr>
      <w:r>
        <w:rPr>
          <w:rFonts w:ascii="Arial" w:hAnsi="Arial" w:cs="Arial"/>
          <w:sz w:val="20"/>
          <w:szCs w:val="20"/>
        </w:rPr>
        <w:t xml:space="preserve">Risk-informed procurement, project preparation, and budget tagging should be promoted to help LGUs build resilient infrastructure and services before disasters occur.</w:t>
      </w:r>
    </w:p>
    <w:p>
      <w:pPr>
        <w:spacing w:before="0" w:after="140" w:line="264" w:lineRule="auto"/>
        <w:jc w:val="both"/>
      </w:pPr>
      <w:r>
        <w:rPr>
          <w:rFonts w:ascii="Arial" w:hAnsi="Arial" w:cs="Arial"/>
          <w:sz w:val="20"/>
          <w:szCs w:val="20"/>
        </w:rPr>
        <w:t xml:space="preserve">Climate justice language should support vulnerable LGUs and communities in accessing national and international climate finance, loss-and-damage support, and transition assistance.</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HR 569 and recommends that it be framed as a practical mandate for national-local action. The declaration should strengthen LGU capacity, accelerate climate-resilient investments, and ensure that climate justice is felt in communities most exposed to climate and disaster risks.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