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left"/>
      </w:pPr>
      <w:r>
        <w:rPr>
          <w:b/>
          <w:color w:val="B23B3B"/>
          <w:sz w:val="22"/>
        </w:rPr>
        <w:t>CONFIDENTIAL — ULAP INTERNAL WORKING DRAFT</w:t>
      </w:r>
    </w:p>
    <w:p>
      <w:pPr>
        <w:jc w:val="left"/>
      </w:pPr>
      <w:r>
        <w:rPr>
          <w:i/>
          <w:color w:val="5A6473"/>
          <w:sz w:val="18"/>
        </w:rPr>
        <w:t>This is an internal working draft of the Union of Local Authorities of the Philippines (ULAP) National Executive Board. It must not be circulated, published, or forwarded outside ULAP without prior approval of the ULAP National Executive Board.</w:t>
      </w:r>
    </w:p>
    <w:p/>
    <w:p>
      <w:pPr>
        <w:spacing w:before="0" w:after="0" w:line="1980" w:lineRule="exact"/>
        <w:jc w:val="left"/>
      </w:pPr>
    </w:p>
    <w:p>
      <w:pPr>
        <w:spacing w:before="0" w:after="40" w:line="264" w:lineRule="auto"/>
        <w:jc w:val="center"/>
      </w:pPr>
      <w:r>
        <w:rPr>
          <w:rFonts w:ascii="Arial" w:hAnsi="Arial" w:cs="Arial"/>
          <w:b/>
          <w:bCs/>
          <w:sz w:val="24"/>
          <w:szCs w:val="24"/>
        </w:rPr>
        <w:t xml:space="preserve">COMMENTS ON THE PROPOSED CLUP AND ZO</w:t>
      </w:r>
    </w:p>
    <w:p>
      <w:pPr>
        <w:spacing w:before="40" w:after="200" w:line="264" w:lineRule="auto"/>
        <w:jc w:val="center"/>
      </w:pPr>
      <w:r>
        <w:rPr>
          <w:rFonts w:ascii="Arial" w:hAnsi="Arial" w:cs="Arial"/>
          <w:b/>
          <w:bCs/>
          <w:sz w:val="24"/>
          <w:szCs w:val="24"/>
        </w:rPr>
        <w:t xml:space="preserve">IMPLEMENTATION MONITORING GUIDELINES</w:t>
      </w:r>
    </w:p>
    <w:p>
      <w:pPr>
        <w:keepNext/>
        <w:spacing w:before="220" w:after="100" w:line="264" w:lineRule="auto"/>
        <w:jc w:val="left"/>
      </w:pPr>
      <w:r>
        <w:rPr>
          <w:rFonts w:ascii="Arial" w:hAnsi="Arial" w:cs="Arial"/>
          <w:b/>
          <w:bCs/>
          <w:sz w:val="20"/>
          <w:szCs w:val="20"/>
        </w:rPr>
        <w:t xml:space="preserve">Position</w:t>
      </w:r>
    </w:p>
    <w:p>
      <w:pPr>
        <w:spacing w:before="0" w:after="140" w:line="264" w:lineRule="auto"/>
        <w:jc w:val="both"/>
      </w:pPr>
      <w:r>
        <w:rPr>
          <w:rFonts w:ascii="Arial" w:hAnsi="Arial" w:cs="Arial"/>
          <w:sz w:val="20"/>
          <w:szCs w:val="20"/>
        </w:rPr>
        <w:t xml:space="preserve">The Union of Local Authorities of the Philippines (ULAP) supports the Department of Human Settlements and Urban Development - Environmental, Land Use and Urban Planning and Development Bureau (DHSUD-ELUPDB) in strengthening the monitoring of Comprehensive Land Use Plan (CLUP) and Zoning Ordinance (ZO) implementation. A credible monitoring framework can help LGUs, national agencies, and stakeholders understand whether land-use plans are being translated into actual zoning decisions, public investments, hazard-aware development, and protection of agricultural, ecological, and settlement areas.</w:t>
      </w:r>
    </w:p>
    <w:p>
      <w:pPr>
        <w:spacing w:before="0" w:after="140" w:line="264" w:lineRule="auto"/>
        <w:jc w:val="both"/>
      </w:pPr>
      <w:r>
        <w:rPr>
          <w:rFonts w:ascii="Arial" w:hAnsi="Arial" w:cs="Arial"/>
          <w:sz w:val="20"/>
          <w:szCs w:val="20"/>
        </w:rPr>
        <w:t xml:space="preserve">ULAP respectfully submits that the proposed monitoring guidelines and tools should be adopted as an enabling and capacity-building instrument rather than a punitive scorecard or a mechanism for recentralizing land-use decisions that are assigned by law to local governments and their sanggunians. The strongest version of the framework improves evidence, helps identify support needs, and guides plan updating while respecting local autonomy, local development priorities, and the fiscal and technical capacity differences among provinces, cities, and municipalities.</w:t>
      </w:r>
    </w:p>
    <w:p>
      <w:pPr>
        <w:spacing w:before="0" w:after="140" w:line="264" w:lineRule="auto"/>
        <w:jc w:val="both"/>
      </w:pPr>
      <w:r>
        <w:rPr>
          <w:rFonts w:ascii="Arial" w:hAnsi="Arial" w:cs="Arial"/>
          <w:sz w:val="20"/>
          <w:szCs w:val="20"/>
        </w:rPr>
        <w:t xml:space="preserve">The comments below are based on the materials shared for advance review and follow-up submission, including the CLUP and ZO Evaluation Tool, the Decision Mapping Template, the Project Implementation Monitoring Tool, the Technical Comment Sheet, and the Validation Form circulated by DHSUD-ELUPDB.</w:t>
      </w:r>
    </w:p>
    <w:p>
      <w:pPr>
        <w:keepNext/>
        <w:spacing w:before="220" w:after="100" w:line="264" w:lineRule="auto"/>
        <w:jc w:val="left"/>
      </w:pPr>
      <w:r>
        <w:rPr>
          <w:rFonts w:ascii="Arial" w:hAnsi="Arial" w:cs="Arial"/>
          <w:b/>
          <w:bCs/>
          <w:sz w:val="20"/>
          <w:szCs w:val="20"/>
        </w:rPr>
        <w:t xml:space="preserve">General Position</w:t>
      </w:r>
    </w:p>
    <w:p>
      <w:pPr>
        <w:spacing w:before="0" w:after="140" w:line="264" w:lineRule="auto"/>
        <w:jc w:val="both"/>
      </w:pPr>
      <w:r>
        <w:rPr>
          <w:rFonts w:ascii="Arial" w:hAnsi="Arial" w:cs="Arial"/>
          <w:sz w:val="20"/>
          <w:szCs w:val="20"/>
        </w:rPr>
        <w:t xml:space="preserve">ULAP supports the objective of monitoring CLUP and ZO implementation because effective land-use governance depends on more than plan approval. It requires implementation evidence, zoning administration records, project monitoring, land conversion and hazard data, and regular feedback loops between local planning offices, zoning administrators, local development councils, sanggunians, and national technical agencies.</w:t>
      </w:r>
    </w:p>
    <w:p>
      <w:pPr>
        <w:spacing w:before="0" w:after="140" w:line="264" w:lineRule="auto"/>
        <w:jc w:val="both"/>
      </w:pPr>
      <w:r>
        <w:rPr>
          <w:rFonts w:ascii="Arial" w:hAnsi="Arial" w:cs="Arial"/>
          <w:sz w:val="20"/>
          <w:szCs w:val="20"/>
        </w:rPr>
        <w:t xml:space="preserve">Monitoring must also be designed around implementation realities. Many LGUs face uneven access to updated base maps, hazard maps, parcel information, satellite imagery, GIS capability, zoning administration systems, technical staff, and project-monitoring tools. A national monitoring framework should therefore measure performance in a way that distinguishes local policy choices from data gaps, external shocks, right-of-way issues, national agency delays, contractor performance, disaster events, litigation, and budget limitations that are not fully within LGU control.</w:t>
      </w:r>
    </w:p>
    <w:p>
      <w:pPr>
        <w:spacing w:before="0" w:after="140" w:line="264" w:lineRule="auto"/>
        <w:jc w:val="both"/>
      </w:pPr>
      <w:r>
        <w:rPr>
          <w:rFonts w:ascii="Arial" w:hAnsi="Arial" w:cs="Arial"/>
          <w:sz w:val="20"/>
          <w:szCs w:val="20"/>
        </w:rPr>
        <w:t xml:space="preserve">For these reasons, ULAP recommends that the guidelines expressly state that monitoring findings are advisory and developmental in character unless a separate legal process clearly provides otherwise. Any finding that could lead to a required plan update, corrective directive, sanction, or public ranking should first be subject to notice, validation, an opportunity for the LGU to explain the data, and an opportunity to cure with technical assistance.</w:t>
      </w:r>
    </w:p>
    <w:p>
      <w:pPr>
        <w:keepNext/>
        <w:spacing w:before="220" w:after="100" w:line="264" w:lineRule="auto"/>
        <w:jc w:val="left"/>
      </w:pPr>
      <w:r>
        <w:rPr>
          <w:rFonts w:ascii="Arial" w:hAnsi="Arial" w:cs="Arial"/>
          <w:b/>
          <w:bCs/>
          <w:sz w:val="20"/>
          <w:szCs w:val="20"/>
        </w:rPr>
        <w:t xml:space="preserve">Key Recommendations</w:t>
      </w:r>
    </w:p>
    <w:p>
      <w:pPr>
        <w:keepNext/>
        <w:spacing w:before="180" w:after="90" w:line="264" w:lineRule="auto"/>
        <w:jc w:val="both"/>
      </w:pPr>
      <w:r>
        <w:rPr>
          <w:rFonts w:ascii="Arial" w:hAnsi="Arial" w:cs="Arial"/>
          <w:b/>
          <w:bCs/>
          <w:sz w:val="20"/>
          <w:szCs w:val="20"/>
        </w:rPr>
        <w:t xml:space="preserve">1. Treat monitoring scores as decision support, not automatic sanctions.</w:t>
      </w:r>
    </w:p>
    <w:p>
      <w:pPr>
        <w:spacing w:before="0" w:after="140" w:line="264" w:lineRule="auto"/>
        <w:jc w:val="both"/>
      </w:pPr>
      <w:r>
        <w:rPr>
          <w:rFonts w:ascii="Arial" w:hAnsi="Arial" w:cs="Arial"/>
          <w:sz w:val="20"/>
          <w:szCs w:val="20"/>
        </w:rPr>
        <w:t xml:space="preserve">The proposed overall scoring bands for status quo, targeted updating or rezoning, and replanning can help organize the results, but they should not mechanically trigger mandatory replanning or adverse findings. The guidelines should require qualitative review, local context, and validation before any formal action is taken.</w:t>
      </w:r>
    </w:p>
    <w:p>
      <w:pPr>
        <w:keepNext/>
        <w:spacing w:before="180" w:after="90" w:line="264" w:lineRule="auto"/>
        <w:jc w:val="both"/>
      </w:pPr>
      <w:r>
        <w:rPr>
          <w:rFonts w:ascii="Arial" w:hAnsi="Arial" w:cs="Arial"/>
          <w:b/>
          <w:bCs/>
          <w:sz w:val="20"/>
          <w:szCs w:val="20"/>
        </w:rPr>
        <w:t xml:space="preserve">2. Preserve local autonomy and the sanggunian role in land-use and zoning decisions.</w:t>
      </w:r>
    </w:p>
    <w:p>
      <w:pPr>
        <w:spacing w:before="0" w:after="140" w:line="264" w:lineRule="auto"/>
        <w:jc w:val="both"/>
      </w:pPr>
      <w:r>
        <w:rPr>
          <w:rFonts w:ascii="Arial" w:hAnsi="Arial" w:cs="Arial"/>
          <w:sz w:val="20"/>
          <w:szCs w:val="20"/>
        </w:rPr>
        <w:t xml:space="preserve">DHSUD monitoring should strengthen standards review, technical validation, and evidence generation while keeping the adoption, amendment, and enforcement of zoning ordinances within the lawful local legislative and administrative process. National monitoring should not substitute for the judgment of local development councils, local zoning bodies, and sanggunians.</w:t>
      </w:r>
    </w:p>
    <w:p>
      <w:pPr>
        <w:keepNext/>
        <w:spacing w:before="180" w:after="90" w:line="264" w:lineRule="auto"/>
        <w:jc w:val="both"/>
      </w:pPr>
      <w:r>
        <w:rPr>
          <w:rFonts w:ascii="Arial" w:hAnsi="Arial" w:cs="Arial"/>
          <w:b/>
          <w:bCs/>
          <w:sz w:val="20"/>
          <w:szCs w:val="20"/>
        </w:rPr>
        <w:t xml:space="preserve">3. Pair new reporting expectations with national technical and fiscal support.</w:t>
      </w:r>
    </w:p>
    <w:p>
      <w:pPr>
        <w:spacing w:before="0" w:after="140" w:line="264" w:lineRule="auto"/>
        <w:jc w:val="both"/>
      </w:pPr>
      <w:r>
        <w:rPr>
          <w:rFonts w:ascii="Arial" w:hAnsi="Arial" w:cs="Arial"/>
          <w:sz w:val="20"/>
          <w:szCs w:val="20"/>
        </w:rPr>
        <w:t xml:space="preserve">The tools require data capture on permits, variances, exceptions, violations, project locations, budgets, timelines, beneficiaries, zoning overlays, and geospatial coordinates. These are useful data points, but they demand systems, staff time, training, and quality control. Before national rollout, DHSUD should provide templates, training, help desks, GIS support, and a transition period, especially for lower-capacity municipalities.</w:t>
      </w:r>
    </w:p>
    <w:p>
      <w:pPr>
        <w:keepNext/>
        <w:spacing w:before="180" w:after="90" w:line="264" w:lineRule="auto"/>
        <w:jc w:val="both"/>
      </w:pPr>
      <w:r>
        <w:rPr>
          <w:rFonts w:ascii="Arial" w:hAnsi="Arial" w:cs="Arial"/>
          <w:b/>
          <w:bCs/>
          <w:sz w:val="20"/>
          <w:szCs w:val="20"/>
        </w:rPr>
        <w:t xml:space="preserve">4. Calibrate indicators, denominators, and thresholds before national use.</w:t>
      </w:r>
    </w:p>
    <w:p>
      <w:pPr>
        <w:spacing w:before="0" w:after="140" w:line="264" w:lineRule="auto"/>
        <w:jc w:val="both"/>
      </w:pPr>
      <w:r>
        <w:rPr>
          <w:rFonts w:ascii="Arial" w:hAnsi="Arial" w:cs="Arial"/>
          <w:sz w:val="20"/>
          <w:szCs w:val="20"/>
        </w:rPr>
        <w:t xml:space="preserve">Indicators such as plan completeness, decision accuracy, deviation approval, appeal approval, violation resolution, project timeliness, beneficiary attainment, hazard-aware development, agricultural land protection, and land-use-zoning consistency need precise definitions. The guidelines should specify the denominator, data source, reporting period, treatment of incomplete records, and acceptable evidence for each indicator.</w:t>
      </w:r>
    </w:p>
    <w:p>
      <w:pPr>
        <w:keepNext/>
        <w:spacing w:before="180" w:after="90" w:line="264" w:lineRule="auto"/>
        <w:jc w:val="both"/>
      </w:pPr>
      <w:r>
        <w:rPr>
          <w:rFonts w:ascii="Arial" w:hAnsi="Arial" w:cs="Arial"/>
          <w:b/>
          <w:bCs/>
          <w:sz w:val="20"/>
          <w:szCs w:val="20"/>
        </w:rPr>
        <w:t xml:space="preserve">5. Distinguish LGU-controlled implementation gaps from external constraints.</w:t>
      </w:r>
    </w:p>
    <w:p>
      <w:pPr>
        <w:spacing w:before="0" w:after="140" w:line="264" w:lineRule="auto"/>
        <w:jc w:val="both"/>
      </w:pPr>
      <w:r>
        <w:rPr>
          <w:rFonts w:ascii="Arial" w:hAnsi="Arial" w:cs="Arial"/>
          <w:sz w:val="20"/>
          <w:szCs w:val="20"/>
        </w:rPr>
        <w:t xml:space="preserve">Delays, location changes, and unplanned projects may result from national project approvals, disasters, budget realignments, right-of-way negotiations, procurement issues, agency convergence, or court and regulatory action. The monitoring tool should include fields for cause, responsible actor, and mitigation status so that the results do not unfairly attribute every variance to local failure.</w:t>
      </w:r>
    </w:p>
    <w:p>
      <w:pPr>
        <w:keepNext/>
        <w:spacing w:before="180" w:after="90" w:line="264" w:lineRule="auto"/>
        <w:jc w:val="both"/>
      </w:pPr>
      <w:r>
        <w:rPr>
          <w:rFonts w:ascii="Arial" w:hAnsi="Arial" w:cs="Arial"/>
          <w:b/>
          <w:bCs/>
          <w:sz w:val="20"/>
          <w:szCs w:val="20"/>
        </w:rPr>
        <w:t xml:space="preserve">6. Build data governance, privacy, and confidentiality safeguards into the templates.</w:t>
      </w:r>
    </w:p>
    <w:p>
      <w:pPr>
        <w:spacing w:before="0" w:after="140" w:line="264" w:lineRule="auto"/>
        <w:jc w:val="both"/>
      </w:pPr>
      <w:r>
        <w:rPr>
          <w:rFonts w:ascii="Arial" w:hAnsi="Arial" w:cs="Arial"/>
          <w:sz w:val="20"/>
          <w:szCs w:val="20"/>
        </w:rPr>
        <w:t xml:space="preserve">The Decision Mapping Template collects applicant names, project locations, coordinates, permit status, decision type, conditions, and enforcement information. The guidelines should define access levels, retention periods, anonymized reporting rules, data-sharing protocols, and safeguards for personal, commercial, enforcement-sensitive, and security-sensitive information.</w:t>
      </w:r>
    </w:p>
    <w:p>
      <w:pPr>
        <w:keepNext/>
        <w:spacing w:before="180" w:after="90" w:line="264" w:lineRule="auto"/>
        <w:jc w:val="both"/>
      </w:pPr>
      <w:r>
        <w:rPr>
          <w:rFonts w:ascii="Arial" w:hAnsi="Arial" w:cs="Arial"/>
          <w:b/>
          <w:bCs/>
          <w:sz w:val="20"/>
          <w:szCs w:val="20"/>
        </w:rPr>
        <w:t xml:space="preserve">7. Pilot the tools before full implementation.</w:t>
      </w:r>
    </w:p>
    <w:p>
      <w:pPr>
        <w:spacing w:before="0" w:after="140" w:line="264" w:lineRule="auto"/>
        <w:jc w:val="both"/>
      </w:pPr>
      <w:r>
        <w:rPr>
          <w:rFonts w:ascii="Arial" w:hAnsi="Arial" w:cs="Arial"/>
          <w:sz w:val="20"/>
          <w:szCs w:val="20"/>
        </w:rPr>
        <w:t xml:space="preserve">A pilot across a representative mix of highly urbanized cities, component cities, first-to-sixth income class municipalities, island municipalities, growth corridors, agricultural municipalities, and disaster-prone LGUs would allow DHSUD to test data availability, reporting burden, scoring behavior, and unintended consequences before requiring nationwide reporting.</w:t>
      </w:r>
    </w:p>
    <w:p>
      <w:pPr>
        <w:keepNext/>
        <w:spacing w:before="220" w:after="100" w:line="264" w:lineRule="auto"/>
        <w:jc w:val="left"/>
      </w:pPr>
      <w:r>
        <w:rPr>
          <w:rFonts w:ascii="Arial" w:hAnsi="Arial" w:cs="Arial"/>
          <w:b/>
          <w:bCs/>
          <w:sz w:val="20"/>
          <w:szCs w:val="20"/>
        </w:rPr>
        <w:t xml:space="preserve">Specific Comments on the Proposed Tools</w:t>
      </w:r>
    </w:p>
    <w:p>
      <w:pPr>
        <w:keepNext/>
        <w:spacing w:before="180" w:after="90" w:line="264" w:lineRule="auto"/>
        <w:jc w:val="both"/>
      </w:pPr>
      <w:r>
        <w:rPr>
          <w:rFonts w:ascii="Arial" w:hAnsi="Arial" w:cs="Arial"/>
          <w:b/>
          <w:bCs/>
          <w:sz w:val="20"/>
          <w:szCs w:val="20"/>
        </w:rPr>
        <w:t xml:space="preserve">CLUP and ZO Evaluation Tool.</w:t>
      </w:r>
    </w:p>
    <w:p>
      <w:pPr>
        <w:spacing w:before="0" w:after="140" w:line="264" w:lineRule="auto"/>
        <w:jc w:val="both"/>
      </w:pPr>
      <w:r>
        <w:rPr>
          <w:rFonts w:ascii="Arial" w:hAnsi="Arial" w:cs="Arial"/>
          <w:sz w:val="20"/>
          <w:szCs w:val="20"/>
        </w:rPr>
        <w:t xml:space="preserve">ULAP supports the inclusion of plan completeness, land-use-zoning consistency, hazard-aware development, agricultural land protection, protected area retention, projection accuracy, and implementation challenge indicators. These are important for understanding whether the plan remains current and implementable. The tool should include a narrative explanation field for each major score and should not rate an LGU poorly where the limiting factor is the absence of updated national datasets, delayed higher-level approvals, or unavailable technical data.</w:t>
      </w:r>
    </w:p>
    <w:p>
      <w:pPr>
        <w:keepNext/>
        <w:spacing w:before="180" w:after="90" w:line="264" w:lineRule="auto"/>
        <w:jc w:val="both"/>
      </w:pPr>
      <w:r>
        <w:rPr>
          <w:rFonts w:ascii="Arial" w:hAnsi="Arial" w:cs="Arial"/>
          <w:b/>
          <w:bCs/>
          <w:sz w:val="20"/>
          <w:szCs w:val="20"/>
        </w:rPr>
        <w:t xml:space="preserve">Decision Mapping Template.</w:t>
      </w:r>
    </w:p>
    <w:p>
      <w:pPr>
        <w:spacing w:before="0" w:after="140" w:line="264" w:lineRule="auto"/>
        <w:jc w:val="both"/>
      </w:pPr>
      <w:r>
        <w:rPr>
          <w:rFonts w:ascii="Arial" w:hAnsi="Arial" w:cs="Arial"/>
          <w:sz w:val="20"/>
          <w:szCs w:val="20"/>
        </w:rPr>
        <w:t xml:space="preserve">The template is useful for building a clearer record of location clearances, variances, exceptions, notices of non-conformance, notices of violation, rezoning, reclassification, appeals, and enforcement actions. DHSUD should standardize the decision codes, ensure that appeal and variance outcomes are interpreted with legal context, and avoid using the raw number of deviations or violations as a negative indicator without considering the size of the LGU, development pressure, volume of applications, inherited zoning issues, and enforcement activity. A high number of recorded violations may reflect stronger enforcement rather than weaker governance.</w:t>
      </w:r>
    </w:p>
    <w:p>
      <w:pPr>
        <w:keepNext/>
        <w:spacing w:before="180" w:after="90" w:line="264" w:lineRule="auto"/>
        <w:jc w:val="both"/>
      </w:pPr>
      <w:r>
        <w:rPr>
          <w:rFonts w:ascii="Arial" w:hAnsi="Arial" w:cs="Arial"/>
          <w:b/>
          <w:bCs/>
          <w:sz w:val="20"/>
          <w:szCs w:val="20"/>
        </w:rPr>
        <w:t xml:space="preserve">Project Implementation Monitoring Tool.</w:t>
      </w:r>
    </w:p>
    <w:p>
      <w:pPr>
        <w:spacing w:before="0" w:after="140" w:line="264" w:lineRule="auto"/>
        <w:jc w:val="both"/>
      </w:pPr>
      <w:r>
        <w:rPr>
          <w:rFonts w:ascii="Arial" w:hAnsi="Arial" w:cs="Arial"/>
          <w:sz w:val="20"/>
          <w:szCs w:val="20"/>
        </w:rPr>
        <w:t xml:space="preserve">Tracking planned and unplanned programs, projects, and activities against zoning, location, schedule, beneficiaries, budget, and progress can improve the link between CLUPs, Local Development Investment Programs, Annual Investment Programs, and actual implementation. The tool should distinguish between delays caused by local project management and delays caused by procurement, national agency dependency, funding release, calamities, permitting, right-of-way, or contractor performance. It should also allow LGUs to explain why a project became necessary even if it was not in the original plan, especially for disaster response, public health, social protection, and urgent infrastructure needs.</w:t>
      </w:r>
    </w:p>
    <w:p>
      <w:pPr>
        <w:keepNext/>
        <w:spacing w:before="180" w:after="90" w:line="264" w:lineRule="auto"/>
        <w:jc w:val="both"/>
      </w:pPr>
      <w:r>
        <w:rPr>
          <w:rFonts w:ascii="Arial" w:hAnsi="Arial" w:cs="Arial"/>
          <w:b/>
          <w:bCs/>
          <w:sz w:val="20"/>
          <w:szCs w:val="20"/>
        </w:rPr>
        <w:t xml:space="preserve">GIS, satellite, and automated monitoring components.</w:t>
      </w:r>
    </w:p>
    <w:p>
      <w:pPr>
        <w:spacing w:before="0" w:after="140" w:line="264" w:lineRule="auto"/>
        <w:jc w:val="both"/>
      </w:pPr>
      <w:r>
        <w:rPr>
          <w:rFonts w:ascii="Arial" w:hAnsi="Arial" w:cs="Arial"/>
          <w:sz w:val="20"/>
          <w:szCs w:val="20"/>
        </w:rPr>
        <w:t xml:space="preserve">ULAP supports the use of geospatial evidence, satellite imagery, and automated land-use change analysis where available. These tools should be nationally supported and should not become an unfunded technical requirement for LGUs. DHSUD and partner national agencies should provide imagery, validated hazard and exposure layers, updated base maps, technical assistance, and clear protocols for resolving discrepancies between automated detection and locally verified ground conditions.</w:t>
      </w:r>
    </w:p>
    <w:p>
      <w:pPr>
        <w:keepNext/>
        <w:spacing w:before="220" w:after="100" w:line="264" w:lineRule="auto"/>
        <w:jc w:val="left"/>
      </w:pPr>
      <w:r>
        <w:rPr>
          <w:rFonts w:ascii="Arial" w:hAnsi="Arial" w:cs="Arial"/>
          <w:b/>
          <w:bCs/>
          <w:sz w:val="20"/>
          <w:szCs w:val="20"/>
        </w:rPr>
        <w:t xml:space="preserve">Suggested Safeguards for the Guidelines</w:t>
      </w:r>
    </w:p>
    <w:p>
      <w:pPr>
        <w:spacing w:before="0" w:after="140" w:line="264" w:lineRule="auto"/>
        <w:jc w:val="both"/>
      </w:pPr>
      <w:r>
        <w:rPr>
          <w:rFonts w:ascii="Arial" w:hAnsi="Arial" w:cs="Arial"/>
          <w:sz w:val="20"/>
          <w:szCs w:val="20"/>
        </w:rPr>
        <w:t xml:space="preserve">The guidelines should include a uniform data dictionary, sample completed templates, and clear instructions on data sources, responsible offices, reporting periods, and evidence standards.</w:t>
      </w:r>
    </w:p>
    <w:p>
      <w:pPr>
        <w:spacing w:before="0" w:after="140" w:line="264" w:lineRule="auto"/>
        <w:jc w:val="both"/>
      </w:pPr>
      <w:r>
        <w:rPr>
          <w:rFonts w:ascii="Arial" w:hAnsi="Arial" w:cs="Arial"/>
          <w:sz w:val="20"/>
          <w:szCs w:val="20"/>
        </w:rPr>
        <w:t xml:space="preserve">A transition period should allow LGUs to submit partial datasets with capacity-gap notes, without adverse scoring or public ranking.</w:t>
      </w:r>
    </w:p>
    <w:p>
      <w:pPr>
        <w:spacing w:before="0" w:after="140" w:line="264" w:lineRule="auto"/>
        <w:jc w:val="both"/>
      </w:pPr>
      <w:r>
        <w:rPr>
          <w:rFonts w:ascii="Arial" w:hAnsi="Arial" w:cs="Arial"/>
          <w:sz w:val="20"/>
          <w:szCs w:val="20"/>
        </w:rPr>
        <w:t xml:space="preserve">Results should be validated with the concerned LGU before publication, escalation, or use in any formal compliance action.</w:t>
      </w:r>
    </w:p>
    <w:p>
      <w:pPr>
        <w:spacing w:before="0" w:after="140" w:line="264" w:lineRule="auto"/>
        <w:jc w:val="both"/>
      </w:pPr>
      <w:r>
        <w:rPr>
          <w:rFonts w:ascii="Arial" w:hAnsi="Arial" w:cs="Arial"/>
          <w:sz w:val="20"/>
          <w:szCs w:val="20"/>
        </w:rPr>
        <w:t xml:space="preserve">DHSUD should create a technical assistance pathway for LGUs that fall within targeted updating or replanning thresholds, including training, template support, and access to national geospatial datasets.</w:t>
      </w:r>
    </w:p>
    <w:p>
      <w:pPr>
        <w:spacing w:before="0" w:after="140" w:line="264" w:lineRule="auto"/>
        <w:jc w:val="both"/>
      </w:pPr>
      <w:r>
        <w:rPr>
          <w:rFonts w:ascii="Arial" w:hAnsi="Arial" w:cs="Arial"/>
          <w:sz w:val="20"/>
          <w:szCs w:val="20"/>
        </w:rPr>
        <w:t xml:space="preserve">The framework should recognize inter-LGU and provincial coordination issues, especially where development pressure, watershed protection, transportation corridors, coastal management, and agricultural land protection cross local boundaries.</w:t>
      </w:r>
    </w:p>
    <w:p>
      <w:pPr>
        <w:spacing w:before="0" w:after="140" w:line="264" w:lineRule="auto"/>
        <w:jc w:val="both"/>
      </w:pPr>
      <w:r>
        <w:rPr>
          <w:rFonts w:ascii="Arial" w:hAnsi="Arial" w:cs="Arial"/>
          <w:sz w:val="20"/>
          <w:szCs w:val="20"/>
        </w:rPr>
        <w:t xml:space="preserve">No penalty, adverse public classification, or mandatory plan action should be imposed without notice, data validation, an opportunity to explain, and a reasonable opportunity to cure implementation gaps with national technical support.</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is prepared to support DHSUD in refining the monitoring framework as a practical tool for stronger land-use governance. With the safeguards above, the system can improve evidence, guide plan updating, and strengthen accountability without weakening local autonomy or imposing unfunded implementation burdens.</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jc w:val="center"/>
    </w:pPr>
    <w:r/>
    <w:r>
      <w:rPr>
        <w:color w:val="8A93A3"/>
        <w:sz w:val="16"/>
      </w:rPr>
      <w:t>ULAP Internal Document — Not for circulation without NEB Board approval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