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w:t>
      </w:r>
    </w:p>
    <w:p>
      <w:pPr>
        <w:spacing w:before="40" w:after="200" w:line="264" w:lineRule="auto"/>
        <w:jc w:val="center"/>
      </w:pPr>
      <w:r>
        <w:rPr>
          <w:rFonts w:ascii="Arial" w:hAnsi="Arial" w:cs="Arial"/>
          <w:b/>
          <w:bCs/>
          <w:sz w:val="24"/>
          <w:szCs w:val="24"/>
        </w:rPr>
        <w:t xml:space="preserve">ON THE DILG REQUEST FOR ENDORSEMENT OF CONSOLIDATED LOCAL GOVERNMENT CODE REFORM PROPOSALS</w:t>
      </w:r>
    </w:p>
    <w:p>
      <w:pPr>
        <w:spacing w:before="0" w:after="140" w:line="264" w:lineRule="auto"/>
        <w:jc w:val="both"/>
      </w:pPr>
      <w:r>
        <w:rPr>
          <w:rFonts w:ascii="Arial" w:hAnsi="Arial" w:cs="Arial"/>
          <w:sz w:val="20"/>
          <w:szCs w:val="20"/>
        </w:rPr>
        <w:t xml:space="preserve">9 June 2026</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ULAP supports the continued consolidation, technical vetting, and inter-pillar review of the LGC RevAmP reform proposals. ULAP endorses the package for further structured review, on the understanding that this endorsement supports the reform process and the priority reform directions rather than granting blanket final approval of every amendment in the current matrix.</w:t>
      </w:r>
    </w:p>
    <w:p>
      <w:pPr>
        <w:spacing w:before="0" w:after="140" w:line="264" w:lineRule="auto"/>
        <w:jc w:val="both"/>
      </w:pPr>
      <w:r>
        <w:rPr>
          <w:rFonts w:ascii="Arial" w:hAnsi="Arial" w:cs="Arial"/>
          <w:sz w:val="20"/>
          <w:szCs w:val="20"/>
        </w:rPr>
        <w:t xml:space="preserve">The consolidated proposals contain reforms that can strengthen local planning, digital service delivery, disaster risk reduction and management, human resource capacity, fiscal decentralization, barangay-level administration, and public participation. These objectives are consistent with ULAP policy priorities where they reinforce local autonomy, improve the quality of devolved services, and give LGUs realistic implementation support.</w:t>
      </w:r>
    </w:p>
    <w:p>
      <w:pPr>
        <w:keepNext/>
        <w:spacing w:before="220" w:after="100" w:line="264" w:lineRule="auto"/>
        <w:jc w:val="left"/>
      </w:pPr>
      <w:r>
        <w:rPr>
          <w:rFonts w:ascii="Arial" w:hAnsi="Arial" w:cs="Arial"/>
          <w:b/>
          <w:bCs/>
          <w:sz w:val="20"/>
          <w:szCs w:val="20"/>
        </w:rPr>
        <w:t xml:space="preserve">Basis of Review</w:t>
      </w:r>
    </w:p>
    <w:p>
      <w:pPr>
        <w:spacing w:before="0" w:after="140" w:line="264" w:lineRule="auto"/>
        <w:jc w:val="both"/>
      </w:pPr>
      <w:r>
        <w:rPr>
          <w:rFonts w:ascii="Arial" w:hAnsi="Arial" w:cs="Arial"/>
          <w:sz w:val="20"/>
          <w:szCs w:val="20"/>
        </w:rPr>
        <w:t xml:space="preserve">This position is based on the DILG BLGD transmittal and the accessible consolidated matrix titled "Copy of Consolidation of Proposed Amendments to the LGC." The matrix compiles proposals from national government, LGU, academic, civil society, and private-sector proponents. The sample reviewed includes proposed amendments concerning Section 106 and Section 17 on local planning and basic services; Section 76 on organizational structure and staffing; Section 325(a) on personal services limitations; provisions on municipal, city, and provincial officials; barangay digital service delivery; DRRM staffing; e-governance; environmental governance; local fiscal allocation; and service-delivery clarification.</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ULAP recognizes the value of the LGC RevAmP as a national opportunity to update the 1991 framework in light of the Mandanas-Garcia implementation environment, climate and disaster risks, digital governance requirements, local fiscal pressures, and the continuing need to clarify the functional assignment between national government agencies and LGUs.</w:t>
      </w:r>
    </w:p>
    <w:p>
      <w:pPr>
        <w:spacing w:before="0" w:after="140" w:line="264" w:lineRule="auto"/>
        <w:jc w:val="both"/>
      </w:pPr>
      <w:r>
        <w:rPr>
          <w:rFonts w:ascii="Arial" w:hAnsi="Arial" w:cs="Arial"/>
          <w:sz w:val="20"/>
          <w:szCs w:val="20"/>
        </w:rPr>
        <w:t xml:space="preserve">The reviewed proposals are strongest where they identify operational gaps that LGUs already face: professional planning capacity, continuity of technical offices, uneven digital infrastructure, staffing needs for devolved functions, and the mismatch between national mandates and local fiscal space. These are legitimate reform concerns that deserve a formal place in the LGC review process.</w:t>
      </w:r>
    </w:p>
    <w:p>
      <w:pPr>
        <w:keepNext/>
        <w:spacing w:before="220" w:after="100" w:line="264" w:lineRule="auto"/>
        <w:jc w:val="left"/>
      </w:pPr>
      <w:r>
        <w:rPr>
          <w:rFonts w:ascii="Arial" w:hAnsi="Arial" w:cs="Arial"/>
          <w:b/>
          <w:bCs/>
          <w:sz w:val="20"/>
          <w:szCs w:val="20"/>
        </w:rPr>
        <w:t xml:space="preserve">ULAP Safeguards for Endorsement</w:t>
      </w:r>
    </w:p>
    <w:p>
      <w:pPr>
        <w:spacing w:before="0" w:after="140" w:line="264" w:lineRule="auto"/>
        <w:jc w:val="both"/>
      </w:pPr>
      <w:r>
        <w:rPr>
          <w:rFonts w:ascii="Arial" w:hAnsi="Arial" w:cs="Arial"/>
          <w:sz w:val="20"/>
          <w:szCs w:val="20"/>
        </w:rPr>
        <w:t xml:space="preserve">ULAP recommends that any endorsement of the consolidated reform proposals carry the following safeguards.</w:t>
      </w:r>
    </w:p>
    <w:p>
      <w:pPr>
        <w:spacing w:before="0" w:after="140" w:line="264" w:lineRule="auto"/>
        <w:jc w:val="both"/>
      </w:pPr>
      <w:r>
        <w:rPr>
          <w:rFonts w:ascii="Arial" w:hAnsi="Arial" w:cs="Arial"/>
          <w:sz w:val="20"/>
          <w:szCs w:val="20"/>
        </w:rPr>
        <w:t xml:space="preserve">Treat the present matrix as a working reform inventory subject to LGU and league validation, not as final legislative text.</w:t>
      </w:r>
    </w:p>
    <w:p>
      <w:pPr>
        <w:spacing w:before="0" w:after="140" w:line="264" w:lineRule="auto"/>
        <w:jc w:val="both"/>
      </w:pPr>
      <w:r>
        <w:rPr>
          <w:rFonts w:ascii="Arial" w:hAnsi="Arial" w:cs="Arial"/>
          <w:sz w:val="20"/>
          <w:szCs w:val="20"/>
        </w:rPr>
        <w:t xml:space="preserve">Require a fiscal impact review by the appropriate national finance, budget, and local-government agencies before endorsing any proposal that creates mandatory positions, expands local service obligations, or changes revenue and expenditure rules.</w:t>
      </w:r>
    </w:p>
    <w:p>
      <w:pPr>
        <w:spacing w:before="0" w:after="140" w:line="264" w:lineRule="auto"/>
        <w:jc w:val="both"/>
      </w:pPr>
      <w:r>
        <w:rPr>
          <w:rFonts w:ascii="Arial" w:hAnsi="Arial" w:cs="Arial"/>
          <w:sz w:val="20"/>
          <w:szCs w:val="20"/>
        </w:rPr>
        <w:t xml:space="preserve">Preserve the core LGC principle that every LGU designs and implements its organizational structure according to service requirements and financial capability, subject to lawful minimum standards.</w:t>
      </w:r>
    </w:p>
    <w:p>
      <w:pPr>
        <w:spacing w:before="0" w:after="140" w:line="264" w:lineRule="auto"/>
        <w:jc w:val="both"/>
      </w:pPr>
      <w:r>
        <w:rPr>
          <w:rFonts w:ascii="Arial" w:hAnsi="Arial" w:cs="Arial"/>
          <w:sz w:val="20"/>
          <w:szCs w:val="20"/>
        </w:rPr>
        <w:t xml:space="preserve">Avoid unfunded mandates. Where national law requires new local functions or staffing, the reform package should identify transition financing, capacity-building support, and realistic phasing.</w:t>
      </w:r>
    </w:p>
    <w:p>
      <w:pPr>
        <w:spacing w:before="0" w:after="140" w:line="264" w:lineRule="auto"/>
        <w:jc w:val="both"/>
      </w:pPr>
      <w:r>
        <w:rPr>
          <w:rFonts w:ascii="Arial" w:hAnsi="Arial" w:cs="Arial"/>
          <w:sz w:val="20"/>
          <w:szCs w:val="20"/>
        </w:rPr>
        <w:t xml:space="preserve">Differentiate implementation by LGU level, income class, geography, hazard exposure, staffing base, and digital readiness. A single national rule may be too rigid for provinces, cities, municipalities, and barangays with very different capacities.</w:t>
      </w:r>
    </w:p>
    <w:p>
      <w:pPr>
        <w:spacing w:before="0" w:after="140" w:line="264" w:lineRule="auto"/>
        <w:jc w:val="both"/>
      </w:pPr>
      <w:r>
        <w:rPr>
          <w:rFonts w:ascii="Arial" w:hAnsi="Arial" w:cs="Arial"/>
          <w:sz w:val="20"/>
          <w:szCs w:val="20"/>
        </w:rPr>
        <w:t xml:space="preserve">Retain local discretion in local development planning while strengthening professional standards, technical assistance, and pathways for LGUs to create or upgrade technical plantilla positions.</w:t>
      </w:r>
    </w:p>
    <w:p>
      <w:pPr>
        <w:spacing w:before="0" w:after="140" w:line="264" w:lineRule="auto"/>
        <w:jc w:val="both"/>
      </w:pPr>
      <w:r>
        <w:rPr>
          <w:rFonts w:ascii="Arial" w:hAnsi="Arial" w:cs="Arial"/>
          <w:sz w:val="20"/>
          <w:szCs w:val="20"/>
        </w:rPr>
        <w:t xml:space="preserve">Ensure that digital-governance provisions include data privacy, cybersecurity, interoperability, offline-access alternatives, and national technical support for low-connectivity LGUs.</w:t>
      </w:r>
    </w:p>
    <w:p>
      <w:pPr>
        <w:spacing w:before="0" w:after="140" w:line="264" w:lineRule="auto"/>
        <w:jc w:val="both"/>
      </w:pPr>
      <w:r>
        <w:rPr>
          <w:rFonts w:ascii="Arial" w:hAnsi="Arial" w:cs="Arial"/>
          <w:sz w:val="20"/>
          <w:szCs w:val="20"/>
        </w:rPr>
        <w:t xml:space="preserve">Consolidate duplicate or overlapping proposals, cleanly identify the affected LGC section, and separate amendments that require statutory text from those that can be addressed through guidelines, joint circulars, incentives, or capacity programs.</w:t>
      </w:r>
    </w:p>
    <w:p>
      <w:pPr>
        <w:spacing w:before="0" w:after="140" w:line="264" w:lineRule="auto"/>
        <w:jc w:val="both"/>
      </w:pPr>
      <w:r>
        <w:rPr>
          <w:rFonts w:ascii="Arial" w:hAnsi="Arial" w:cs="Arial"/>
          <w:sz w:val="20"/>
          <w:szCs w:val="20"/>
        </w:rPr>
        <w:t xml:space="preserve">Create a formal league consultation and feedback window before the package is transmitted for congressional or executive action.</w:t>
      </w:r>
    </w:p>
    <w:p>
      <w:pPr>
        <w:keepNext/>
        <w:spacing w:before="220" w:after="100" w:line="264" w:lineRule="auto"/>
        <w:jc w:val="left"/>
      </w:pPr>
      <w:r>
        <w:rPr>
          <w:rFonts w:ascii="Arial" w:hAnsi="Arial" w:cs="Arial"/>
          <w:b/>
          <w:bCs/>
          <w:sz w:val="20"/>
          <w:szCs w:val="20"/>
        </w:rPr>
        <w:t xml:space="preserve">Priority Reform Areas ULAP Supports</w:t>
      </w:r>
    </w:p>
    <w:p>
      <w:pPr>
        <w:spacing w:before="0" w:after="140" w:line="264" w:lineRule="auto"/>
        <w:jc w:val="both"/>
      </w:pPr>
      <w:r>
        <w:rPr>
          <w:rFonts w:ascii="Arial" w:hAnsi="Arial" w:cs="Arial"/>
          <w:sz w:val="20"/>
          <w:szCs w:val="20"/>
        </w:rPr>
        <w:t xml:space="preserve">Subject to the safeguards above, ULAP supports continued development of reform language in the following areas.</w:t>
      </w:r>
    </w:p>
    <w:p>
      <w:pPr>
        <w:keepNext/>
        <w:spacing w:before="180" w:after="90" w:line="264" w:lineRule="auto"/>
        <w:jc w:val="both"/>
      </w:pPr>
      <w:r>
        <w:rPr>
          <w:rFonts w:ascii="Arial" w:hAnsi="Arial" w:cs="Arial"/>
          <w:b/>
          <w:bCs/>
          <w:sz w:val="20"/>
          <w:szCs w:val="20"/>
        </w:rPr>
        <w:t xml:space="preserve">Capacity-based devolution.</w:t>
      </w:r>
    </w:p>
    <w:p>
      <w:pPr>
        <w:spacing w:before="0" w:after="140" w:line="264" w:lineRule="auto"/>
        <w:jc w:val="both"/>
      </w:pPr>
      <w:r>
        <w:rPr>
          <w:rFonts w:ascii="Arial" w:hAnsi="Arial" w:cs="Arial"/>
          <w:sz w:val="20"/>
          <w:szCs w:val="20"/>
        </w:rPr>
        <w:t xml:space="preserve">Reform text should clarify the division of responsibilities between national agencies and LGUs and provide transition support where functions are devolved or expanded.</w:t>
      </w:r>
    </w:p>
    <w:p>
      <w:pPr>
        <w:keepNext/>
        <w:spacing w:before="180" w:after="90" w:line="264" w:lineRule="auto"/>
        <w:jc w:val="both"/>
      </w:pPr>
      <w:r>
        <w:rPr>
          <w:rFonts w:ascii="Arial" w:hAnsi="Arial" w:cs="Arial"/>
          <w:b/>
          <w:bCs/>
          <w:sz w:val="20"/>
          <w:szCs w:val="20"/>
        </w:rPr>
        <w:t xml:space="preserve">Professionalized local planning.</w:t>
      </w:r>
    </w:p>
    <w:p>
      <w:pPr>
        <w:spacing w:before="0" w:after="140" w:line="264" w:lineRule="auto"/>
        <w:jc w:val="both"/>
      </w:pPr>
      <w:r>
        <w:rPr>
          <w:rFonts w:ascii="Arial" w:hAnsi="Arial" w:cs="Arial"/>
          <w:sz w:val="20"/>
          <w:szCs w:val="20"/>
        </w:rPr>
        <w:t xml:space="preserve">Proposals to strengthen environmental planning and development planning should be framed as capacity support and standards-based professionalization, not as a sudden across-the-board staffing burden.</w:t>
      </w:r>
    </w:p>
    <w:p>
      <w:pPr>
        <w:keepNext/>
        <w:spacing w:before="180" w:after="90" w:line="264" w:lineRule="auto"/>
        <w:jc w:val="both"/>
      </w:pPr>
      <w:r>
        <w:rPr>
          <w:rFonts w:ascii="Arial" w:hAnsi="Arial" w:cs="Arial"/>
          <w:b/>
          <w:bCs/>
          <w:sz w:val="20"/>
          <w:szCs w:val="20"/>
        </w:rPr>
        <w:t xml:space="preserve">DRRM institutional capacity.</w:t>
      </w:r>
    </w:p>
    <w:p>
      <w:pPr>
        <w:spacing w:before="0" w:after="140" w:line="264" w:lineRule="auto"/>
        <w:jc w:val="both"/>
      </w:pPr>
      <w:r>
        <w:rPr>
          <w:rFonts w:ascii="Arial" w:hAnsi="Arial" w:cs="Arial"/>
          <w:sz w:val="20"/>
          <w:szCs w:val="20"/>
        </w:rPr>
        <w:t xml:space="preserve">Strengthening LDRRMO capacity matters, but staffing reforms should be paired with fiscal support, qualification pathways, and risk-based phasing.</w:t>
      </w:r>
    </w:p>
    <w:p>
      <w:pPr>
        <w:keepNext/>
        <w:spacing w:before="180" w:after="90" w:line="264" w:lineRule="auto"/>
        <w:jc w:val="both"/>
      </w:pPr>
      <w:r>
        <w:rPr>
          <w:rFonts w:ascii="Arial" w:hAnsi="Arial" w:cs="Arial"/>
          <w:b/>
          <w:bCs/>
          <w:sz w:val="20"/>
          <w:szCs w:val="20"/>
        </w:rPr>
        <w:t xml:space="preserve">Digital local governance.</w:t>
      </w:r>
    </w:p>
    <w:p>
      <w:pPr>
        <w:spacing w:before="0" w:after="140" w:line="264" w:lineRule="auto"/>
        <w:jc w:val="both"/>
      </w:pPr>
      <w:r>
        <w:rPr>
          <w:rFonts w:ascii="Arial" w:hAnsi="Arial" w:cs="Arial"/>
          <w:sz w:val="20"/>
          <w:szCs w:val="20"/>
        </w:rPr>
        <w:t xml:space="preserve">E-governance amendments should improve access, records, permitting, payments, citizen feedback, and transparency while recognizing infrastructure and skills gaps across barangays and municipalities.</w:t>
      </w:r>
    </w:p>
    <w:p>
      <w:pPr>
        <w:keepNext/>
        <w:spacing w:before="180" w:after="90" w:line="264" w:lineRule="auto"/>
        <w:jc w:val="both"/>
      </w:pPr>
      <w:r>
        <w:rPr>
          <w:rFonts w:ascii="Arial" w:hAnsi="Arial" w:cs="Arial"/>
          <w:b/>
          <w:bCs/>
          <w:sz w:val="20"/>
          <w:szCs w:val="20"/>
        </w:rPr>
        <w:t xml:space="preserve">Local fiscal sustainability.</w:t>
      </w:r>
    </w:p>
    <w:p>
      <w:pPr>
        <w:spacing w:before="0" w:after="140" w:line="264" w:lineRule="auto"/>
        <w:jc w:val="both"/>
      </w:pPr>
      <w:r>
        <w:rPr>
          <w:rFonts w:ascii="Arial" w:hAnsi="Arial" w:cs="Arial"/>
          <w:sz w:val="20"/>
          <w:szCs w:val="20"/>
        </w:rPr>
        <w:t xml:space="preserve">Proposals affecting personal services caps, local revenue, and local expenditures require careful costing and should not weaken the capacity of LGUs to deliver basic services.</w:t>
      </w:r>
    </w:p>
    <w:p>
      <w:pPr>
        <w:keepNext/>
        <w:spacing w:before="180" w:after="90" w:line="264" w:lineRule="auto"/>
        <w:jc w:val="both"/>
      </w:pPr>
      <w:r>
        <w:rPr>
          <w:rFonts w:ascii="Arial" w:hAnsi="Arial" w:cs="Arial"/>
          <w:b/>
          <w:bCs/>
          <w:sz w:val="20"/>
          <w:szCs w:val="20"/>
        </w:rPr>
        <w:t xml:space="preserve">Barangay service delivery.</w:t>
      </w:r>
    </w:p>
    <w:p>
      <w:pPr>
        <w:spacing w:before="0" w:after="140" w:line="264" w:lineRule="auto"/>
        <w:jc w:val="both"/>
      </w:pPr>
      <w:r>
        <w:rPr>
          <w:rFonts w:ascii="Arial" w:hAnsi="Arial" w:cs="Arial"/>
          <w:sz w:val="20"/>
          <w:szCs w:val="20"/>
        </w:rPr>
        <w:t xml:space="preserve">Digital barangay systems and administrative improvements should be supported through templates, platforms, training, and safeguards rather than purely mandatory compliance language.</w:t>
      </w:r>
    </w:p>
    <w:p>
      <w:pPr>
        <w:keepNext/>
        <w:spacing w:before="220" w:after="100" w:line="264" w:lineRule="auto"/>
        <w:jc w:val="left"/>
      </w:pPr>
      <w:r>
        <w:rPr>
          <w:rFonts w:ascii="Arial" w:hAnsi="Arial" w:cs="Arial"/>
          <w:b/>
          <w:bCs/>
          <w:sz w:val="20"/>
          <w:szCs w:val="20"/>
        </w:rPr>
        <w:t xml:space="preserve">ULAP Endorsement</w:t>
      </w:r>
    </w:p>
    <w:p>
      <w:pPr>
        <w:spacing w:before="0" w:after="140" w:line="264" w:lineRule="auto"/>
        <w:jc w:val="both"/>
      </w:pPr>
      <w:r>
        <w:rPr>
          <w:rFonts w:ascii="Arial" w:hAnsi="Arial" w:cs="Arial"/>
          <w:sz w:val="20"/>
          <w:szCs w:val="20"/>
        </w:rPr>
        <w:t xml:space="preserve">ULAP communicates to DILG that it endorses the continued processing and structured vetting of the consolidated LGC reform proposals, with appreciation for the breadth of inputs gathered through the LGC RevAmP. Final endorsement of specific legislative provisions will depend on validated text, fiscal impact analysis, league consultation, and confirmation that the reforms protect local autonomy and do not impose unfunded mandates.</w:t>
      </w:r>
    </w:p>
    <w:p>
      <w:pPr>
        <w:spacing w:before="0" w:after="140" w:line="264" w:lineRule="auto"/>
        <w:jc w:val="both"/>
      </w:pPr>
      <w:r>
        <w:rPr>
          <w:rFonts w:ascii="Arial" w:hAnsi="Arial" w:cs="Arial"/>
          <w:sz w:val="20"/>
          <w:szCs w:val="20"/>
        </w:rPr>
        <w:t xml:space="preserve">The endorsement also requests that ULAP and the leagues be given a defined review role in the next phase, including access to the cleaned matrix, statutory language, implementation notes, and any committee or executive submission.</w:t>
      </w:r>
    </w:p>
    <w:p>
      <w:pPr>
        <w:keepNext/>
        <w:spacing w:before="220" w:after="100" w:line="264" w:lineRule="auto"/>
        <w:jc w:val="left"/>
      </w:pPr>
      <w:r>
        <w:rPr>
          <w:rFonts w:ascii="Arial" w:hAnsi="Arial" w:cs="Arial"/>
          <w:b/>
          <w:bCs/>
          <w:sz w:val="20"/>
          <w:szCs w:val="20"/>
        </w:rPr>
        <w:t xml:space="preserve">Implementation Notes</w:t>
      </w:r>
    </w:p>
    <w:p>
      <w:pPr>
        <w:spacing w:before="0" w:after="140" w:line="264" w:lineRule="auto"/>
        <w:jc w:val="both"/>
      </w:pPr>
      <w:r>
        <w:rPr>
          <w:rFonts w:ascii="Arial" w:hAnsi="Arial" w:cs="Arial"/>
          <w:sz w:val="20"/>
          <w:szCs w:val="20"/>
        </w:rPr>
        <w:t xml:space="preserve">ULAP requests DILG to cluster the proposals by statutory amendment, policy issuance, administrative reform, fiscal measure, and capacity-building measure.</w:t>
      </w:r>
    </w:p>
    <w:p>
      <w:pPr>
        <w:spacing w:before="0" w:after="140" w:line="264" w:lineRule="auto"/>
        <w:jc w:val="both"/>
      </w:pPr>
      <w:r>
        <w:rPr>
          <w:rFonts w:ascii="Arial" w:hAnsi="Arial" w:cs="Arial"/>
          <w:sz w:val="20"/>
          <w:szCs w:val="20"/>
        </w:rPr>
        <w:t xml:space="preserve">Each cluster should carry an implementation note identifying lead agencies, cost implications, transition period, affected LGU levels, and required national support.</w:t>
      </w:r>
    </w:p>
    <w:p>
      <w:pPr>
        <w:spacing w:before="0" w:after="140" w:line="264" w:lineRule="auto"/>
        <w:jc w:val="both"/>
      </w:pPr>
      <w:r>
        <w:rPr>
          <w:rFonts w:ascii="Arial" w:hAnsi="Arial" w:cs="Arial"/>
          <w:sz w:val="20"/>
          <w:szCs w:val="20"/>
        </w:rPr>
        <w:t xml:space="preserve">For proposals on mandatory offices or personnel, DILG, DBM, CSC, DOF, and BLGF should prepare options that avoid abrupt noncompliance by lower-income LGUs.</w:t>
      </w:r>
    </w:p>
    <w:p>
      <w:pPr>
        <w:spacing w:before="0" w:after="140" w:line="264" w:lineRule="auto"/>
        <w:jc w:val="both"/>
      </w:pPr>
      <w:r>
        <w:rPr>
          <w:rFonts w:ascii="Arial" w:hAnsi="Arial" w:cs="Arial"/>
          <w:sz w:val="20"/>
          <w:szCs w:val="20"/>
        </w:rPr>
        <w:t xml:space="preserve">For digital-governance proposals, DICT and DILG should define minimum standards and shared platforms while allowing LGUs to localize implementation.</w:t>
      </w:r>
    </w:p>
    <w:p>
      <w:pPr>
        <w:spacing w:before="0" w:after="140" w:line="264" w:lineRule="auto"/>
        <w:jc w:val="both"/>
      </w:pPr>
      <w:r>
        <w:rPr>
          <w:rFonts w:ascii="Arial" w:hAnsi="Arial" w:cs="Arial"/>
          <w:sz w:val="20"/>
          <w:szCs w:val="20"/>
        </w:rPr>
        <w:t xml:space="preserve">For fiscal proposals, ULAP requests LGU-level simulations before supporting changes to revenue, expenditure, or transfer rules.</w:t>
      </w:r>
    </w:p>
    <w:p>
      <w:pPr>
        <w:keepNext/>
        <w:spacing w:before="220" w:after="100" w:line="264" w:lineRule="auto"/>
        <w:jc w:val="left"/>
      </w:pPr>
      <w:r>
        <w:rPr>
          <w:rFonts w:ascii="Arial" w:hAnsi="Arial" w:cs="Arial"/>
          <w:b/>
          <w:bCs/>
          <w:sz w:val="20"/>
          <w:szCs w:val="20"/>
        </w:rPr>
        <w:t xml:space="preserve">ULAP Position</w:t>
      </w:r>
    </w:p>
    <w:p>
      <w:pPr>
        <w:spacing w:before="0" w:after="140" w:line="264" w:lineRule="auto"/>
        <w:jc w:val="both"/>
      </w:pPr>
      <w:r>
        <w:rPr>
          <w:rFonts w:ascii="Arial" w:hAnsi="Arial" w:cs="Arial"/>
          <w:sz w:val="20"/>
          <w:szCs w:val="20"/>
        </w:rPr>
        <w:t xml:space="preserve">ULAP supports the DILG request in principle and endorses the LGC RevAmP consolidated proposals for further structured vetting, subject to the safeguards and reservations stated in this position paper. This approach allows ULAP to affirm the importance of LGC reform while protecting the autonomy, fiscal sustainability, and implementation capacity of its member LGUs.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respectfully conveys its readiness to work with DILG, the leagues, national government agencies, Congress, and other stakeholders to refine the reform package into practical, fiscally responsible, and autonomy-protective amendments to the Local Government Code.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