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ULAP POSITION PAPER</w:t>
      </w:r>
    </w:p>
    <w:p>
      <w:pPr>
        <w:spacing w:before="40" w:after="200" w:line="264" w:lineRule="auto"/>
        <w:jc w:val="center"/>
      </w:pPr>
      <w:r>
        <w:rPr>
          <w:rFonts w:ascii="Arial" w:hAnsi="Arial" w:cs="Arial"/>
          <w:b/>
          <w:bCs/>
          <w:sz w:val="24"/>
          <w:szCs w:val="24"/>
        </w:rPr>
        <w:t xml:space="preserve">ON HOUSE BILL NO. 7707, LOCAL TAX AND FEE EXEMPTION FOR MICRO ENTERPRISES ACT</w:t>
      </w:r>
    </w:p>
    <w:p>
      <w:pPr>
        <w:spacing w:before="0" w:after="140" w:line="264" w:lineRule="auto"/>
        <w:jc w:val="both"/>
      </w:pPr>
      <w:r>
        <w:rPr>
          <w:rFonts w:ascii="Arial" w:hAnsi="Arial" w:cs="Arial"/>
          <w:sz w:val="20"/>
          <w:szCs w:val="20"/>
        </w:rPr>
        <w:t xml:space="preserve">9 June 2026</w:t>
      </w:r>
    </w:p>
    <w:p>
      <w:pPr>
        <w:spacing w:before="0" w:after="140" w:line="264" w:lineRule="auto"/>
        <w:jc w:val="both"/>
      </w:pPr>
      <w:r>
        <w:rPr>
          <w:rFonts w:ascii="Arial" w:hAnsi="Arial" w:cs="Arial"/>
          <w:sz w:val="20"/>
          <w:szCs w:val="20"/>
        </w:rPr>
        <w:t xml:space="preserve">For: Committee on Micro, Small and Medium Enterprise Development, House of Representatives</w:t>
      </w:r>
    </w:p>
    <w:p>
      <w:pPr>
        <w:spacing w:before="0" w:after="140" w:line="264" w:lineRule="auto"/>
        <w:jc w:val="both"/>
      </w:pPr>
      <w:r>
        <w:rPr>
          <w:rFonts w:ascii="Arial" w:hAnsi="Arial" w:cs="Arial"/>
          <w:sz w:val="20"/>
          <w:szCs w:val="20"/>
        </w:rPr>
        <w:t xml:space="preserve">Reference: Request for comments and recommendations on House Bill No. 7707, "Local Tax and Fee Exemption for Micro Enterprises Act."</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ULAP supports the policy objective of lowering barriers to microenterprise formalization and helping small livelihood activities enter the formal economy. ULAP respectfully submits, however, that House Bill No. 7707 requires amendment before committee approval. Sections 5, 6, and 7 create sweeping and automatic exemptions from local business taxes, business permit and license fees, and other local regulatory fees and charges, with no fiscal replacement mechanism, LGU validation process, transition period, or safeguards against regulatory-cost shifting.</w:t>
      </w:r>
    </w:p>
    <w:p>
      <w:pPr>
        <w:spacing w:before="0" w:after="140" w:line="264" w:lineRule="auto"/>
        <w:jc w:val="both"/>
      </w:pPr>
      <w:r>
        <w:rPr>
          <w:rFonts w:ascii="Arial" w:hAnsi="Arial" w:cs="Arial"/>
          <w:sz w:val="20"/>
          <w:szCs w:val="20"/>
        </w:rPr>
        <w:t xml:space="preserve">ULAP endorses the objective of the bill subject to substantial amendments that preserve local fiscal autonomy, protect cost recovery for legitimate regulatory functions, and give LGUs a structured, funded, and targeted framework for microenterprise relief rather than an unfunded nationwide waiver of local revenue and regulatory charges.</w:t>
      </w:r>
    </w:p>
    <w:p>
      <w:pPr>
        <w:keepNext/>
        <w:spacing w:before="220" w:after="100" w:line="264" w:lineRule="auto"/>
        <w:jc w:val="left"/>
      </w:pPr>
      <w:r>
        <w:rPr>
          <w:rFonts w:ascii="Arial" w:hAnsi="Arial" w:cs="Arial"/>
          <w:b/>
          <w:bCs/>
          <w:sz w:val="20"/>
          <w:szCs w:val="20"/>
        </w:rPr>
        <w:t xml:space="preserve">Policy Appreciation</w:t>
      </w:r>
    </w:p>
    <w:p>
      <w:pPr>
        <w:spacing w:before="0" w:after="140" w:line="264" w:lineRule="auto"/>
        <w:jc w:val="both"/>
      </w:pPr>
      <w:r>
        <w:rPr>
          <w:rFonts w:ascii="Arial" w:hAnsi="Arial" w:cs="Arial"/>
          <w:sz w:val="20"/>
          <w:szCs w:val="20"/>
        </w:rPr>
        <w:t xml:space="preserve">The bill correctly recognizes that micro enterprises are essential contributors to employment, household income, and local economic activity. ULAP agrees that local governments should help reduce unnecessary administrative friction for legitimate micro enterprises, especially those seeking to register, renew, comply with business rules, and access local support programs.</w:t>
      </w:r>
    </w:p>
    <w:p>
      <w:pPr>
        <w:spacing w:before="0" w:after="140" w:line="264" w:lineRule="auto"/>
        <w:jc w:val="both"/>
      </w:pPr>
      <w:r>
        <w:rPr>
          <w:rFonts w:ascii="Arial" w:hAnsi="Arial" w:cs="Arial"/>
          <w:sz w:val="20"/>
          <w:szCs w:val="20"/>
        </w:rPr>
        <w:t xml:space="preserve">High transaction costs can discourage formalization. A well-designed relief framework can improve registration, strengthen local economic data, widen access to national and local enterprise assistance, and make compliance easier for micro entrepreneurs.</w:t>
      </w:r>
    </w:p>
    <w:p>
      <w:pPr>
        <w:keepNext/>
        <w:spacing w:before="220" w:after="100" w:line="264" w:lineRule="auto"/>
        <w:jc w:val="left"/>
      </w:pPr>
      <w:r>
        <w:rPr>
          <w:rFonts w:ascii="Arial" w:hAnsi="Arial" w:cs="Arial"/>
          <w:b/>
          <w:bCs/>
          <w:sz w:val="20"/>
          <w:szCs w:val="20"/>
        </w:rPr>
        <w:t xml:space="preserve">Key Concerns</w:t>
      </w:r>
    </w:p>
    <w:p>
      <w:pPr>
        <w:spacing w:before="0" w:after="140" w:line="264" w:lineRule="auto"/>
        <w:jc w:val="both"/>
      </w:pPr>
      <w:r>
        <w:rPr>
          <w:rFonts w:ascii="Arial" w:hAnsi="Arial" w:cs="Arial"/>
          <w:sz w:val="20"/>
          <w:szCs w:val="20"/>
        </w:rPr>
        <w:t xml:space="preserve">The present bill goes beyond targeted relief and would materially affect local fiscal powers and regulatory implementation. The following provisions require revision.</w:t>
      </w:r>
    </w:p>
    <w:p>
      <w:pPr>
        <w:spacing w:before="0" w:after="140" w:line="264" w:lineRule="auto"/>
        <w:jc w:val="both"/>
      </w:pPr>
      <w:r>
        <w:rPr>
          <w:rFonts w:ascii="Arial" w:hAnsi="Arial" w:cs="Arial"/>
          <w:sz w:val="20"/>
          <w:szCs w:val="20"/>
        </w:rPr>
        <w:t xml:space="preserve">Section 5 exempts all covered micro enterprises from all local business taxes imposed and collected by LGUs under the Local Government Code or local ordinances.</w:t>
      </w:r>
    </w:p>
    <w:p>
      <w:pPr>
        <w:spacing w:before="0" w:after="140" w:line="264" w:lineRule="auto"/>
        <w:jc w:val="both"/>
      </w:pPr>
      <w:r>
        <w:rPr>
          <w:rFonts w:ascii="Arial" w:hAnsi="Arial" w:cs="Arial"/>
          <w:sz w:val="20"/>
          <w:szCs w:val="20"/>
        </w:rPr>
        <w:t xml:space="preserve">Section 6 exempts covered micro enterprises from all fees and charges for issuance, renewal, amendment, and retention of business permits, licenses, and similar authorizations, and prohibits substitute fees or equivalent assessments.</w:t>
      </w:r>
    </w:p>
    <w:p>
      <w:pPr>
        <w:spacing w:before="0" w:after="140" w:line="264" w:lineRule="auto"/>
        <w:jc w:val="both"/>
      </w:pPr>
      <w:r>
        <w:rPr>
          <w:rFonts w:ascii="Arial" w:hAnsi="Arial" w:cs="Arial"/>
          <w:sz w:val="20"/>
          <w:szCs w:val="20"/>
        </w:rPr>
        <w:t xml:space="preserve">Section 7 exempts covered micro enterprises from all other local regulatory fees and charges connected with business activities, including inspection, processing, signage, sanitary or health permit fees, and similar charges, whether periodic or per transaction.</w:t>
      </w:r>
    </w:p>
    <w:p>
      <w:pPr>
        <w:spacing w:before="0" w:after="140" w:line="264" w:lineRule="auto"/>
        <w:jc w:val="both"/>
      </w:pPr>
      <w:r>
        <w:rPr>
          <w:rFonts w:ascii="Arial" w:hAnsi="Arial" w:cs="Arial"/>
          <w:sz w:val="20"/>
          <w:szCs w:val="20"/>
        </w:rPr>
        <w:t xml:space="preserve">Section 8 preserves regulatory compliance in principle but bars LGUs from imposing fees or charges connected with regulatory implementation unless expressly authorized by Congress.</w:t>
      </w:r>
    </w:p>
    <w:p>
      <w:pPr>
        <w:spacing w:before="0" w:after="140" w:line="264" w:lineRule="auto"/>
        <w:jc w:val="both"/>
      </w:pPr>
      <w:r>
        <w:rPr>
          <w:rFonts w:ascii="Arial" w:hAnsi="Arial" w:cs="Arial"/>
          <w:sz w:val="20"/>
          <w:szCs w:val="20"/>
        </w:rPr>
        <w:t xml:space="preserve">Section 9 assigns the implementing rules to DOF in consultation with DILG, DTI, and relevant stakeholders, but does not expressly require consultation with ULAP and the leagues or a fiscal-impact process with LGUs.</w:t>
      </w:r>
    </w:p>
    <w:p>
      <w:pPr>
        <w:keepNext/>
        <w:spacing w:before="220" w:after="100" w:line="264" w:lineRule="auto"/>
        <w:jc w:val="left"/>
      </w:pPr>
      <w:r>
        <w:rPr>
          <w:rFonts w:ascii="Arial" w:hAnsi="Arial" w:cs="Arial"/>
          <w:b/>
          <w:bCs/>
          <w:sz w:val="20"/>
          <w:szCs w:val="20"/>
        </w:rPr>
        <w:t xml:space="preserve">Local Autonomy and Fiscal Impact</w:t>
      </w:r>
    </w:p>
    <w:p>
      <w:pPr>
        <w:spacing w:before="0" w:after="140" w:line="264" w:lineRule="auto"/>
        <w:jc w:val="both"/>
      </w:pPr>
      <w:r>
        <w:rPr>
          <w:rFonts w:ascii="Arial" w:hAnsi="Arial" w:cs="Arial"/>
          <w:sz w:val="20"/>
          <w:szCs w:val="20"/>
        </w:rPr>
        <w:t xml:space="preserve">Local business taxes, permit fees, and regulatory fees are not merely administrative collections. They support local revenue administration, inspection systems, health and sanitation checks, zoning and land-use enforcement, fire and building coordination, recordkeeping, business-permit processing, and other local functions necessary for public safety and orderly economic activity.</w:t>
      </w:r>
    </w:p>
    <w:p>
      <w:pPr>
        <w:spacing w:before="0" w:after="140" w:line="264" w:lineRule="auto"/>
        <w:jc w:val="both"/>
      </w:pPr>
      <w:r>
        <w:rPr>
          <w:rFonts w:ascii="Arial" w:hAnsi="Arial" w:cs="Arial"/>
          <w:sz w:val="20"/>
          <w:szCs w:val="20"/>
        </w:rPr>
        <w:t xml:space="preserve">A blanket exemption can unintentionally shift the cost of regulating covered businesses to the general local budget and, ultimately, to other taxpayers and service users. Municipalities and smaller LGUs with limited own-source revenue and higher dependence on national transfers would feel this most.</w:t>
      </w:r>
    </w:p>
    <w:p>
      <w:pPr>
        <w:spacing w:before="0" w:after="140" w:line="264" w:lineRule="auto"/>
        <w:jc w:val="both"/>
      </w:pPr>
      <w:r>
        <w:rPr>
          <w:rFonts w:ascii="Arial" w:hAnsi="Arial" w:cs="Arial"/>
          <w:sz w:val="20"/>
          <w:szCs w:val="20"/>
        </w:rPr>
        <w:t xml:space="preserve">The bill also risks creating uneven treatment between enterprises just below and just above the microenterprise threshold. Without annual validation, anti-splitting rules, sunset review, and local registry safeguards, the exemption could invite misclassification or artificial fragmentation of businesses.</w:t>
      </w:r>
    </w:p>
    <w:p>
      <w:pPr>
        <w:keepNext/>
        <w:spacing w:before="220" w:after="100" w:line="264" w:lineRule="auto"/>
        <w:jc w:val="left"/>
      </w:pPr>
      <w:r>
        <w:rPr>
          <w:rFonts w:ascii="Arial" w:hAnsi="Arial" w:cs="Arial"/>
          <w:b/>
          <w:bCs/>
          <w:sz w:val="20"/>
          <w:szCs w:val="20"/>
        </w:rPr>
        <w:t xml:space="preserve">Recommended Amendments</w:t>
      </w:r>
    </w:p>
    <w:p>
      <w:pPr>
        <w:spacing w:before="0" w:after="140" w:line="264" w:lineRule="auto"/>
        <w:jc w:val="both"/>
      </w:pPr>
      <w:r>
        <w:rPr>
          <w:rFonts w:ascii="Arial" w:hAnsi="Arial" w:cs="Arial"/>
          <w:sz w:val="20"/>
          <w:szCs w:val="20"/>
        </w:rPr>
        <w:t xml:space="preserve">ULAP recommends that HB 7707 be amended as follows.</w:t>
      </w:r>
    </w:p>
    <w:p>
      <w:pPr>
        <w:spacing w:before="0" w:after="140" w:line="264" w:lineRule="auto"/>
        <w:jc w:val="both"/>
      </w:pPr>
      <w:r>
        <w:rPr>
          <w:rFonts w:ascii="Arial" w:hAnsi="Arial" w:cs="Arial"/>
          <w:sz w:val="20"/>
          <w:szCs w:val="20"/>
        </w:rPr>
        <w:t xml:space="preserve">Replace the blanket national exemption with a targeted, time-bound relief framework that LGUs may implement through ordinance, consistent with national standards and local fiscal conditions.</w:t>
      </w:r>
    </w:p>
    <w:p>
      <w:pPr>
        <w:spacing w:before="0" w:after="140" w:line="264" w:lineRule="auto"/>
        <w:jc w:val="both"/>
      </w:pPr>
      <w:r>
        <w:rPr>
          <w:rFonts w:ascii="Arial" w:hAnsi="Arial" w:cs="Arial"/>
          <w:sz w:val="20"/>
          <w:szCs w:val="20"/>
        </w:rPr>
        <w:t xml:space="preserve">Limit automatic relief to clearly qualified micro enterprises that are newly formalizing or renewing in good faith, subject to annual validation and clear disqualification rules for enterprises that exceed thresholds, split operations, or misrepresent eligibility.</w:t>
      </w:r>
    </w:p>
    <w:p>
      <w:pPr>
        <w:spacing w:before="0" w:after="140" w:line="264" w:lineRule="auto"/>
        <w:jc w:val="both"/>
      </w:pPr>
      <w:r>
        <w:rPr>
          <w:rFonts w:ascii="Arial" w:hAnsi="Arial" w:cs="Arial"/>
          <w:sz w:val="20"/>
          <w:szCs w:val="20"/>
        </w:rPr>
        <w:t xml:space="preserve">Preserve LGU authority to collect reasonable cost-recovery fees for inspections and regulatory actions involving public health, sanitation, fire safety, building standards, environmental protection, zoning, land use, and other police-power functions.</w:t>
      </w:r>
    </w:p>
    <w:p>
      <w:pPr>
        <w:spacing w:before="0" w:after="140" w:line="264" w:lineRule="auto"/>
        <w:jc w:val="both"/>
      </w:pPr>
      <w:r>
        <w:rPr>
          <w:rFonts w:ascii="Arial" w:hAnsi="Arial" w:cs="Arial"/>
          <w:sz w:val="20"/>
          <w:szCs w:val="20"/>
        </w:rPr>
        <w:t xml:space="preserve">Provide a national fiscal support or reimbursement mechanism for any mandatory local revenue waiver required by Congress.</w:t>
      </w:r>
    </w:p>
    <w:p>
      <w:pPr>
        <w:spacing w:before="0" w:after="140" w:line="264" w:lineRule="auto"/>
        <w:jc w:val="both"/>
      </w:pPr>
      <w:r>
        <w:rPr>
          <w:rFonts w:ascii="Arial" w:hAnsi="Arial" w:cs="Arial"/>
          <w:sz w:val="20"/>
          <w:szCs w:val="20"/>
        </w:rPr>
        <w:t xml:space="preserve">Require DOF, BLGF, DILG, DTI, ULAP, and the leagues to prepare fiscal-impact estimates before implementation and to review the effect of the program on LGU own-source revenues.</w:t>
      </w:r>
    </w:p>
    <w:p>
      <w:pPr>
        <w:spacing w:before="0" w:after="140" w:line="264" w:lineRule="auto"/>
        <w:jc w:val="both"/>
      </w:pPr>
      <w:r>
        <w:rPr>
          <w:rFonts w:ascii="Arial" w:hAnsi="Arial" w:cs="Arial"/>
          <w:sz w:val="20"/>
          <w:szCs w:val="20"/>
        </w:rPr>
        <w:t xml:space="preserve">Require a simplified local microenterprise registry and data-sharing mechanism so LGUs can monitor eligibility, support enterprise development, and prevent abuse.</w:t>
      </w:r>
    </w:p>
    <w:p>
      <w:pPr>
        <w:spacing w:before="0" w:after="140" w:line="264" w:lineRule="auto"/>
        <w:jc w:val="both"/>
      </w:pPr>
      <w:r>
        <w:rPr>
          <w:rFonts w:ascii="Arial" w:hAnsi="Arial" w:cs="Arial"/>
          <w:sz w:val="20"/>
          <w:szCs w:val="20"/>
        </w:rPr>
        <w:t xml:space="preserve">Include a transition period, pilot option, and sunset review so Congress can assess whether the exemption increased formalization without weakening local service delivery.</w:t>
      </w:r>
    </w:p>
    <w:p>
      <w:pPr>
        <w:spacing w:before="0" w:after="140" w:line="264" w:lineRule="auto"/>
        <w:jc w:val="both"/>
      </w:pPr>
      <w:r>
        <w:rPr>
          <w:rFonts w:ascii="Arial" w:hAnsi="Arial" w:cs="Arial"/>
          <w:sz w:val="20"/>
          <w:szCs w:val="20"/>
        </w:rPr>
        <w:t xml:space="preserve">Clarify that the bill does not repeal or diminish LGU police-power authority to enforce public safety, health, zoning, land use, building, environmental, labor-related, and consumer-protection standards.</w:t>
      </w:r>
    </w:p>
    <w:p>
      <w:pPr>
        <w:keepNext/>
        <w:spacing w:before="220" w:after="100" w:line="264" w:lineRule="auto"/>
        <w:jc w:val="left"/>
      </w:pPr>
      <w:r>
        <w:rPr>
          <w:rFonts w:ascii="Arial" w:hAnsi="Arial" w:cs="Arial"/>
          <w:b/>
          <w:bCs/>
          <w:sz w:val="20"/>
          <w:szCs w:val="20"/>
        </w:rPr>
        <w:t xml:space="preserve">Suggested Substitute Approach</w:t>
      </w:r>
    </w:p>
    <w:p>
      <w:pPr>
        <w:spacing w:before="0" w:after="140" w:line="264" w:lineRule="auto"/>
        <w:jc w:val="both"/>
      </w:pPr>
      <w:r>
        <w:rPr>
          <w:rFonts w:ascii="Arial" w:hAnsi="Arial" w:cs="Arial"/>
          <w:sz w:val="20"/>
          <w:szCs w:val="20"/>
        </w:rPr>
        <w:t xml:space="preserve">Instead of removing all covered local taxes and regulatory charges, Congress may establish a national microenterprise formalization incentive framework. Under this approach, qualified micro enterprises may receive simplified registration, reduced or waived administrative fees for a defined introductory period, technical assistance, and access to local enterprise support programs, while LGUs retain authority to recover the direct cost of inspections and regulatory compliance measures necessary for public safety and public welfare.</w:t>
      </w:r>
    </w:p>
    <w:p>
      <w:pPr>
        <w:spacing w:before="0" w:after="140" w:line="264" w:lineRule="auto"/>
        <w:jc w:val="both"/>
      </w:pPr>
      <w:r>
        <w:rPr>
          <w:rFonts w:ascii="Arial" w:hAnsi="Arial" w:cs="Arial"/>
          <w:sz w:val="20"/>
          <w:szCs w:val="20"/>
        </w:rPr>
        <w:t xml:space="preserve">This approach aligns the bill with the constitutional and statutory policy of local autonomy. It encourages formalization without converting local regulatory systems into unfunded mandates.</w:t>
      </w:r>
    </w:p>
    <w:p>
      <w:pPr>
        <w:keepNext/>
        <w:spacing w:before="220" w:after="100" w:line="264" w:lineRule="auto"/>
        <w:jc w:val="left"/>
      </w:pPr>
      <w:r>
        <w:rPr>
          <w:rFonts w:ascii="Arial" w:hAnsi="Arial" w:cs="Arial"/>
          <w:b/>
          <w:bCs/>
          <w:sz w:val="20"/>
          <w:szCs w:val="20"/>
        </w:rPr>
        <w:t xml:space="preserve">ULAP Position</w:t>
      </w:r>
    </w:p>
    <w:p>
      <w:pPr>
        <w:spacing w:before="0" w:after="140" w:line="264" w:lineRule="auto"/>
        <w:jc w:val="both"/>
      </w:pPr>
      <w:r>
        <w:rPr>
          <w:rFonts w:ascii="Arial" w:hAnsi="Arial" w:cs="Arial"/>
          <w:sz w:val="20"/>
          <w:szCs w:val="20"/>
        </w:rPr>
        <w:t xml:space="preserve">ULAP respectfully submits that House Bill No. 7707 requires amendment before committee approval to preserve LGU fiscal autonomy, protect cost recovery for legitimate regulatory functions, require ULAP and the LGU leagues to participate in the IRR, and provide fiscal safeguards for any mandatory local revenue waiver.</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respectfully submits that microenterprise relief and local fiscal autonomy can be pursued together. A revised HB 7707 can reduce formalization barriers while ensuring that LGUs retain the resources and authority needed to regulate business activity, protect communities, and deliver basic services.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