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ULAP POSITION PAPER</w:t>
      </w:r>
    </w:p>
    <w:p>
      <w:pPr>
        <w:spacing w:before="40" w:after="200" w:line="264" w:lineRule="auto"/>
        <w:jc w:val="center"/>
      </w:pPr>
      <w:r>
        <w:rPr>
          <w:rFonts w:ascii="Arial" w:hAnsi="Arial" w:cs="Arial"/>
          <w:b/>
          <w:bCs/>
          <w:sz w:val="24"/>
          <w:szCs w:val="24"/>
        </w:rPr>
        <w:t xml:space="preserve">ON SPECIAL EDUCATION FUND AND LOCAL SCHOOL BOARD MEASURES</w:t>
      </w:r>
    </w:p>
    <w:p>
      <w:pPr>
        <w:spacing w:before="0" w:after="140" w:line="264" w:lineRule="auto"/>
        <w:jc w:val="both"/>
      </w:pPr>
      <w:r>
        <w:rPr>
          <w:rFonts w:ascii="Arial" w:hAnsi="Arial" w:cs="Arial"/>
          <w:sz w:val="20"/>
          <w:szCs w:val="20"/>
        </w:rPr>
        <w:t xml:space="preserve">6 July 2026</w:t>
      </w:r>
    </w:p>
    <w:p>
      <w:pPr>
        <w:spacing w:before="0" w:after="140" w:line="264" w:lineRule="auto"/>
        <w:jc w:val="both"/>
      </w:pPr>
      <w:r>
        <w:rPr>
          <w:rFonts w:ascii="Arial" w:hAnsi="Arial" w:cs="Arial"/>
          <w:sz w:val="20"/>
          <w:szCs w:val="20"/>
        </w:rPr>
        <w:t xml:space="preserve">For: House Committee on Local Government</w:t>
      </w:r>
    </w:p>
    <w:p>
      <w:pPr>
        <w:spacing w:before="0" w:after="140" w:line="264" w:lineRule="auto"/>
        <w:jc w:val="both"/>
      </w:pPr>
      <w:r>
        <w:rPr>
          <w:rFonts w:ascii="Arial" w:hAnsi="Arial" w:cs="Arial"/>
          <w:sz w:val="20"/>
          <w:szCs w:val="20"/>
        </w:rPr>
        <w:t xml:space="preserve">Reference: Request for comments and position paper on proposed measures regarding the Special Education Fund and Local School Boards</w:t>
      </w:r>
    </w:p>
    <w:p>
      <w:pPr>
        <w:keepNext/>
        <w:spacing w:before="220" w:after="100" w:line="264" w:lineRule="auto"/>
        <w:jc w:val="left"/>
      </w:pPr>
      <w:r>
        <w:rPr>
          <w:rFonts w:ascii="Arial" w:hAnsi="Arial" w:cs="Arial"/>
          <w:b/>
          <w:bCs/>
          <w:sz w:val="20"/>
          <w:szCs w:val="20"/>
        </w:rPr>
        <w:t xml:space="preserve">Executive Position</w:t>
      </w:r>
    </w:p>
    <w:p>
      <w:pPr>
        <w:spacing w:before="0" w:after="140" w:line="264" w:lineRule="auto"/>
        <w:jc w:val="both"/>
      </w:pPr>
      <w:r>
        <w:rPr>
          <w:rFonts w:ascii="Arial" w:hAnsi="Arial" w:cs="Arial"/>
          <w:sz w:val="20"/>
          <w:szCs w:val="20"/>
        </w:rPr>
        <w:t xml:space="preserve">The Union of Local Authorities of the Philippines (ULAP) supports measures that improve basic education outcomes, strengthen school support, and make education spending more responsive to learners and communities. ULAP also respectfully submits that any amendment affecting the Special Education Fund (SEF) and Local School Boards (LSBs) must preserve local fiscal autonomy, keep local prioritization meaningful, and protect the SEF from becoming a nationally earmarked fund with limited local discretion.</w:t>
      </w:r>
    </w:p>
    <w:p>
      <w:pPr>
        <w:spacing w:before="0" w:after="140" w:line="264" w:lineRule="auto"/>
        <w:jc w:val="both"/>
      </w:pPr>
      <w:r>
        <w:rPr>
          <w:rFonts w:ascii="Arial" w:hAnsi="Arial" w:cs="Arial"/>
          <w:sz w:val="20"/>
          <w:szCs w:val="20"/>
        </w:rPr>
        <w:t xml:space="preserve">The SEF is one of the most important local instruments for shared education governance. It allows LGUs, DepEd, school representatives, parents, and local stakeholders to respond to real school conditions. The measure should therefore strengthen accountability and planning without weakening the statutory role of LSBs or converting local education resources into unfunded national implementation channels.</w:t>
      </w:r>
    </w:p>
    <w:p>
      <w:pPr>
        <w:keepNext/>
        <w:spacing w:before="220" w:after="100" w:line="264" w:lineRule="auto"/>
        <w:jc w:val="left"/>
      </w:pPr>
      <w:r>
        <w:rPr>
          <w:rFonts w:ascii="Arial" w:hAnsi="Arial" w:cs="Arial"/>
          <w:b/>
          <w:bCs/>
          <w:sz w:val="20"/>
          <w:szCs w:val="20"/>
        </w:rPr>
        <w:t xml:space="preserve">Policy Appreciation</w:t>
      </w:r>
    </w:p>
    <w:p>
      <w:pPr>
        <w:spacing w:before="0" w:after="140" w:line="264" w:lineRule="auto"/>
        <w:jc w:val="both"/>
      </w:pPr>
      <w:r>
        <w:rPr>
          <w:rFonts w:ascii="Arial" w:hAnsi="Arial" w:cs="Arial"/>
          <w:sz w:val="20"/>
          <w:szCs w:val="20"/>
        </w:rPr>
        <w:t xml:space="preserve">ULAP recognizes the need to improve the use of the SEF and make local education support more transparent, equitable, and outcome-oriented. LGUs regularly support classrooms, school repairs, learner welfare, local learning recovery, school safety, sports and culture activities, education technology, and other needs that national allocations may not immediately cover.</w:t>
      </w:r>
    </w:p>
    <w:p>
      <w:pPr>
        <w:spacing w:before="0" w:after="140" w:line="264" w:lineRule="auto"/>
        <w:jc w:val="both"/>
      </w:pPr>
      <w:r>
        <w:rPr>
          <w:rFonts w:ascii="Arial" w:hAnsi="Arial" w:cs="Arial"/>
          <w:sz w:val="20"/>
          <w:szCs w:val="20"/>
        </w:rPr>
        <w:t xml:space="preserve">Education should be supported; that much is settled. The real question is how to improve coordination while respecting the legal and practical role of LGUs in local education support.</w:t>
      </w:r>
    </w:p>
    <w:p>
      <w:pPr>
        <w:keepNext/>
        <w:spacing w:before="220" w:after="100" w:line="264" w:lineRule="auto"/>
        <w:jc w:val="left"/>
      </w:pPr>
      <w:r>
        <w:rPr>
          <w:rFonts w:ascii="Arial" w:hAnsi="Arial" w:cs="Arial"/>
          <w:b/>
          <w:bCs/>
          <w:sz w:val="20"/>
          <w:szCs w:val="20"/>
        </w:rPr>
        <w:t xml:space="preserve">ULAP Position and Recommendations</w:t>
      </w:r>
    </w:p>
    <w:p>
      <w:pPr>
        <w:keepNext/>
        <w:spacing w:before="180" w:after="90" w:line="264" w:lineRule="auto"/>
        <w:jc w:val="both"/>
      </w:pPr>
      <w:r>
        <w:rPr>
          <w:rFonts w:ascii="Arial" w:hAnsi="Arial" w:cs="Arial"/>
          <w:b/>
          <w:bCs/>
          <w:sz w:val="20"/>
          <w:szCs w:val="20"/>
        </w:rPr>
        <w:t xml:space="preserve">1. Preserve the Local School Board as the primary local planning and prioritization mechanism for SEF use.</w:t>
      </w:r>
    </w:p>
    <w:p>
      <w:pPr>
        <w:spacing w:before="0" w:after="140" w:line="264" w:lineRule="auto"/>
        <w:jc w:val="both"/>
      </w:pPr>
      <w:r>
        <w:rPr>
          <w:rFonts w:ascii="Arial" w:hAnsi="Arial" w:cs="Arial"/>
          <w:sz w:val="20"/>
          <w:szCs w:val="20"/>
        </w:rPr>
        <w:t xml:space="preserve">The law should not bypass LSBs or reduce them to implementing bodies for centrally determined priorities. LSBs are the statutory venue where local education needs are discussed and translated into local spending priorities.</w:t>
      </w:r>
    </w:p>
    <w:p>
      <w:pPr>
        <w:spacing w:before="0" w:after="140" w:line="264" w:lineRule="auto"/>
        <w:jc w:val="both"/>
      </w:pPr>
      <w:r>
        <w:rPr>
          <w:rFonts w:ascii="Arial" w:hAnsi="Arial" w:cs="Arial"/>
          <w:sz w:val="20"/>
          <w:szCs w:val="20"/>
        </w:rPr>
        <w:t xml:space="preserve">ULAP recommends that any expanded list of allowable SEF uses remain subject to LSB deliberation, local budget processes, and local development priorities. DepEd inputs should guide prioritization without displacing LSB decision-making.</w:t>
      </w:r>
    </w:p>
    <w:p>
      <w:pPr>
        <w:keepNext/>
        <w:spacing w:before="180" w:after="90" w:line="264" w:lineRule="auto"/>
        <w:jc w:val="both"/>
      </w:pPr>
      <w:r>
        <w:rPr>
          <w:rFonts w:ascii="Arial" w:hAnsi="Arial" w:cs="Arial"/>
          <w:b/>
          <w:bCs/>
          <w:sz w:val="20"/>
          <w:szCs w:val="20"/>
        </w:rPr>
        <w:t xml:space="preserve">2. Protect the SEF from rigid national earmarking.</w:t>
      </w:r>
    </w:p>
    <w:p>
      <w:pPr>
        <w:spacing w:before="0" w:after="140" w:line="264" w:lineRule="auto"/>
        <w:jc w:val="both"/>
      </w:pPr>
      <w:r>
        <w:rPr>
          <w:rFonts w:ascii="Arial" w:hAnsi="Arial" w:cs="Arial"/>
          <w:sz w:val="20"/>
          <w:szCs w:val="20"/>
        </w:rPr>
        <w:t xml:space="preserve">Nationally fixed allocations may appear orderly, yet they can fail on the ground. School needs vary widely across urban, rural, island, upland, conflict-affected, and disaster-exposed LGUs. Some LGUs may need classrooms and repairs; others may need transport support, learner welfare, local learning recovery, digital access, sanitation, or school safety measures.</w:t>
      </w:r>
    </w:p>
    <w:p>
      <w:pPr>
        <w:spacing w:before="0" w:after="140" w:line="264" w:lineRule="auto"/>
        <w:jc w:val="both"/>
      </w:pPr>
      <w:r>
        <w:rPr>
          <w:rFonts w:ascii="Arial" w:hAnsi="Arial" w:cs="Arial"/>
          <w:sz w:val="20"/>
          <w:szCs w:val="20"/>
        </w:rPr>
        <w:t xml:space="preserve">ULAP proposes a flexible statutory framework: define allowable categories, require transparency, and encourage evidence-based prioritization, while avoiding rigid percentage earmarks unless paired with local discretion and fiscal-impact review.</w:t>
      </w:r>
    </w:p>
    <w:p>
      <w:pPr>
        <w:keepNext/>
        <w:spacing w:before="180" w:after="90" w:line="264" w:lineRule="auto"/>
        <w:jc w:val="both"/>
      </w:pPr>
      <w:r>
        <w:rPr>
          <w:rFonts w:ascii="Arial" w:hAnsi="Arial" w:cs="Arial"/>
          <w:b/>
          <w:bCs/>
          <w:sz w:val="20"/>
          <w:szCs w:val="20"/>
        </w:rPr>
        <w:t xml:space="preserve">3. Clarify the relationship between DepEd responsibilities and LGU support.</w:t>
      </w:r>
    </w:p>
    <w:p>
      <w:pPr>
        <w:spacing w:before="0" w:after="140" w:line="264" w:lineRule="auto"/>
        <w:jc w:val="both"/>
      </w:pPr>
      <w:r>
        <w:rPr>
          <w:rFonts w:ascii="Arial" w:hAnsi="Arial" w:cs="Arial"/>
          <w:sz w:val="20"/>
          <w:szCs w:val="20"/>
        </w:rPr>
        <w:t xml:space="preserve">The SEF should supplement and support basic education, not stand in for national government obligations. The law should make clear that national agencies remain responsible for core DepEd funding, personnel, standards, curriculum, and national school infrastructure commitments.</w:t>
      </w:r>
    </w:p>
    <w:p>
      <w:pPr>
        <w:spacing w:before="0" w:after="140" w:line="264" w:lineRule="auto"/>
        <w:jc w:val="both"/>
      </w:pPr>
      <w:r>
        <w:rPr>
          <w:rFonts w:ascii="Arial" w:hAnsi="Arial" w:cs="Arial"/>
          <w:sz w:val="20"/>
          <w:szCs w:val="20"/>
        </w:rPr>
        <w:t xml:space="preserve">ULAP recommends language stating that SEF expenditures shall complement, and not replace, national appropriations for basic education.</w:t>
      </w:r>
    </w:p>
    <w:p>
      <w:pPr>
        <w:keepNext/>
        <w:spacing w:before="180" w:after="90" w:line="264" w:lineRule="auto"/>
        <w:jc w:val="both"/>
      </w:pPr>
      <w:r>
        <w:rPr>
          <w:rFonts w:ascii="Arial" w:hAnsi="Arial" w:cs="Arial"/>
          <w:b/>
          <w:bCs/>
          <w:sz w:val="20"/>
          <w:szCs w:val="20"/>
        </w:rPr>
        <w:t xml:space="preserve">4. Improve transparency through simple and usable reporting.</w:t>
      </w:r>
    </w:p>
    <w:p>
      <w:pPr>
        <w:spacing w:before="0" w:after="140" w:line="264" w:lineRule="auto"/>
        <w:jc w:val="both"/>
      </w:pPr>
      <w:r>
        <w:rPr>
          <w:rFonts w:ascii="Arial" w:hAnsi="Arial" w:cs="Arial"/>
          <w:sz w:val="20"/>
          <w:szCs w:val="20"/>
        </w:rPr>
        <w:t xml:space="preserve">ULAP supports stronger transparency in SEF use. Reporting should be practical and should not duplicate existing local budget, audit, and education reporting systems.</w:t>
      </w:r>
    </w:p>
    <w:p>
      <w:pPr>
        <w:spacing w:before="0" w:after="140" w:line="264" w:lineRule="auto"/>
        <w:jc w:val="both"/>
      </w:pPr>
      <w:r>
        <w:rPr>
          <w:rFonts w:ascii="Arial" w:hAnsi="Arial" w:cs="Arial"/>
          <w:sz w:val="20"/>
          <w:szCs w:val="20"/>
        </w:rPr>
        <w:t xml:space="preserve">ULAP recommends a standard SEF reporting template developed with DepEd, DILG, DBM, COA, ULAP, and the LGU leagues. The template should show SEF collections, LSB-approved priorities, actual expenditures, and education-support outputs in a form that citizens and school communities can use.</w:t>
      </w:r>
    </w:p>
    <w:p>
      <w:pPr>
        <w:keepNext/>
        <w:spacing w:before="180" w:after="90" w:line="264" w:lineRule="auto"/>
        <w:jc w:val="both"/>
      </w:pPr>
      <w:r>
        <w:rPr>
          <w:rFonts w:ascii="Arial" w:hAnsi="Arial" w:cs="Arial"/>
          <w:b/>
          <w:bCs/>
          <w:sz w:val="20"/>
          <w:szCs w:val="20"/>
        </w:rPr>
        <w:t xml:space="preserve">5. Recognize LGU capacity differences.</w:t>
      </w:r>
    </w:p>
    <w:p>
      <w:pPr>
        <w:spacing w:before="0" w:after="140" w:line="264" w:lineRule="auto"/>
        <w:jc w:val="both"/>
      </w:pPr>
      <w:r>
        <w:rPr>
          <w:rFonts w:ascii="Arial" w:hAnsi="Arial" w:cs="Arial"/>
          <w:sz w:val="20"/>
          <w:szCs w:val="20"/>
        </w:rPr>
        <w:t xml:space="preserve">Higher-income LGUs and smaller municipalities face different conditions. A uniform compliance burden may penalize LGUs that have fewer staff, weaker data systems, or lower SEF collections.</w:t>
      </w:r>
    </w:p>
    <w:p>
      <w:pPr>
        <w:spacing w:before="0" w:after="140" w:line="264" w:lineRule="auto"/>
        <w:jc w:val="both"/>
      </w:pPr>
      <w:r>
        <w:rPr>
          <w:rFonts w:ascii="Arial" w:hAnsi="Arial" w:cs="Arial"/>
          <w:sz w:val="20"/>
          <w:szCs w:val="20"/>
        </w:rPr>
        <w:t xml:space="preserve">ULAP urges phased implementation, technical assistance, and capacity-building support for LGUs that need help improving SEF planning, reporting, and evaluation.</w:t>
      </w:r>
    </w:p>
    <w:p>
      <w:pPr>
        <w:keepNext/>
        <w:spacing w:before="180" w:after="90" w:line="264" w:lineRule="auto"/>
        <w:jc w:val="both"/>
      </w:pPr>
      <w:r>
        <w:rPr>
          <w:rFonts w:ascii="Arial" w:hAnsi="Arial" w:cs="Arial"/>
          <w:b/>
          <w:bCs/>
          <w:sz w:val="20"/>
          <w:szCs w:val="20"/>
        </w:rPr>
        <w:t xml:space="preserve">6. Include ULAP and the LGU leagues in the IRR and implementation review.</w:t>
      </w:r>
    </w:p>
    <w:p>
      <w:pPr>
        <w:spacing w:before="0" w:after="140" w:line="264" w:lineRule="auto"/>
        <w:jc w:val="both"/>
      </w:pPr>
      <w:r>
        <w:rPr>
          <w:rFonts w:ascii="Arial" w:hAnsi="Arial" w:cs="Arial"/>
          <w:sz w:val="20"/>
          <w:szCs w:val="20"/>
        </w:rPr>
        <w:t xml:space="preserve">Because the measures directly affect local fiscal authority and education governance, ULAP and the LGU leagues should participate in preparing the IRR and reviewing implementation.</w:t>
      </w:r>
    </w:p>
    <w:p>
      <w:pPr>
        <w:keepNext/>
        <w:spacing w:before="220" w:after="100" w:line="264" w:lineRule="auto"/>
        <w:jc w:val="left"/>
      </w:pPr>
      <w:r>
        <w:rPr>
          <w:rFonts w:ascii="Arial" w:hAnsi="Arial" w:cs="Arial"/>
          <w:b/>
          <w:bCs/>
          <w:sz w:val="20"/>
          <w:szCs w:val="20"/>
        </w:rPr>
        <w:t xml:space="preserve">ULAP Recommendation</w:t>
      </w:r>
    </w:p>
    <w:p>
      <w:pPr>
        <w:spacing w:before="0" w:after="140" w:line="264" w:lineRule="auto"/>
        <w:jc w:val="both"/>
      </w:pPr>
      <w:r>
        <w:rPr>
          <w:rFonts w:ascii="Arial" w:hAnsi="Arial" w:cs="Arial"/>
          <w:sz w:val="20"/>
          <w:szCs w:val="20"/>
        </w:rPr>
        <w:t xml:space="preserve">ULAP supports amendments that strengthen transparency, planning, and education outcomes in SEF use, subject to safeguards that preserve the Local School Board, retain meaningful local discretion, avoid rigid national earmarking, clarify DepEd and LGU roles, and provide workable reporting and capacity support.</w:t>
      </w:r>
    </w:p>
    <w:p>
      <w:pPr>
        <w:spacing w:before="0" w:after="140" w:line="264" w:lineRule="auto"/>
        <w:jc w:val="both"/>
      </w:pPr>
      <w:r>
        <w:rPr>
          <w:rFonts w:ascii="Arial" w:hAnsi="Arial" w:cs="Arial"/>
          <w:sz w:val="20"/>
          <w:szCs w:val="20"/>
        </w:rPr>
        <w:t xml:space="preserve">A stronger SEF framework should make local education support more accountable while keeping intact the local governance structure that makes school support responsive to real community needs.</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