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COMMENTS ON THE FSRCB BOARD RESOLUTION DESIGNATING THE</w:t>
      </w:r>
    </w:p>
    <w:p>
      <w:pPr>
        <w:spacing w:before="40" w:after="200" w:line="264" w:lineRule="auto"/>
        <w:jc w:val="center"/>
      </w:pPr>
      <w:r>
        <w:rPr>
          <w:rFonts w:ascii="Arial" w:hAnsi="Arial" w:cs="Arial"/>
          <w:b/>
          <w:bCs/>
          <w:sz w:val="24"/>
          <w:szCs w:val="24"/>
        </w:rPr>
        <w:t xml:space="preserve">ADMINISTRATIVE AND TECHNICAL SECRETARIAT</w:t>
      </w:r>
    </w:p>
    <w:p>
      <w:pPr>
        <w:spacing w:before="0" w:after="140" w:line="264" w:lineRule="auto"/>
        <w:jc w:val="both"/>
      </w:pPr>
      <w:r>
        <w:rPr>
          <w:rFonts w:ascii="Arial" w:hAnsi="Arial" w:cs="Arial"/>
          <w:sz w:val="20"/>
          <w:szCs w:val="20"/>
        </w:rPr>
        <w:t xml:space="preserve">Submitted to the Food Safety Regulation Coordinating Board (FSRCB) on the request for comments on the Board Resolution designating Department of Health (DOH) and Department of Agriculture (DA) personnel as the FSRCB Administrative and Technical Secretariat.</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interposes no objection to the designation of appropriate DOH and DA personnel as the Administrative and Technical Secretariat of the FSRCB, provided that the designation strengthens coordination, clarifies work flows, and supports effective implementation at the national and local levels.</w:t>
      </w:r>
    </w:p>
    <w:p>
      <w:pPr>
        <w:spacing w:before="0" w:after="140" w:line="264" w:lineRule="auto"/>
        <w:jc w:val="both"/>
      </w:pPr>
      <w:r>
        <w:rPr>
          <w:rFonts w:ascii="Arial" w:hAnsi="Arial" w:cs="Arial"/>
          <w:sz w:val="20"/>
          <w:szCs w:val="20"/>
        </w:rPr>
        <w:t xml:space="preserve">ULAP submits that the resolution should expressly recognize LGU coordination channels. Food safety implementation often reaches cities, municipalities, provinces, and barangays through local health, agriculture, veterinary, market, slaughterhouse, sanitation, business-permitting, and inspection functions. A Secretariat arrangement that is clear internally but silent on local coordination may still leave implementation gaps on the ground.</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need for a functional FSRCB Secretariat. Food safety regulation is multi-agency by nature. It covers standards, surveillance, inspection, laboratory support, market monitoring, risk communication, emergency response, and coordination among national and local actors.</w:t>
      </w:r>
    </w:p>
    <w:p>
      <w:pPr>
        <w:spacing w:before="0" w:after="140" w:line="264" w:lineRule="auto"/>
        <w:jc w:val="both"/>
      </w:pPr>
      <w:r>
        <w:rPr>
          <w:rFonts w:ascii="Arial" w:hAnsi="Arial" w:cs="Arial"/>
          <w:sz w:val="20"/>
          <w:szCs w:val="20"/>
        </w:rPr>
        <w:t xml:space="preserve">A clear Secretariat can help the FSRCB act more consistently, prepare documents, track decisions, coordinate agencies, and follow through on Board action. ULAP supports this administrative strengthening.</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Clarify that Secretariat designation does not create new LGU obligations by implication.</w:t>
      </w:r>
    </w:p>
    <w:p>
      <w:pPr>
        <w:spacing w:before="0" w:after="140" w:line="264" w:lineRule="auto"/>
        <w:jc w:val="both"/>
      </w:pPr>
      <w:r>
        <w:rPr>
          <w:rFonts w:ascii="Arial" w:hAnsi="Arial" w:cs="Arial"/>
          <w:sz w:val="20"/>
          <w:szCs w:val="20"/>
        </w:rPr>
        <w:t xml:space="preserve">The resolution should specify that the designation of DOH and DA personnel as Secretariat does not, by itself, impose new duties, staffing requirements, or reporting obligations on LGUs. Any local implementation requirement should be issued through the appropriate legal instrument and supported by guidance and resources.</w:t>
      </w:r>
    </w:p>
    <w:p>
      <w:pPr>
        <w:keepNext/>
        <w:spacing w:before="180" w:after="90" w:line="264" w:lineRule="auto"/>
        <w:jc w:val="both"/>
      </w:pPr>
      <w:r>
        <w:rPr>
          <w:rFonts w:ascii="Arial" w:hAnsi="Arial" w:cs="Arial"/>
          <w:b/>
          <w:bCs/>
          <w:sz w:val="20"/>
          <w:szCs w:val="20"/>
        </w:rPr>
        <w:t xml:space="preserve">2. Establish a direct LGU coordination channel.</w:t>
      </w:r>
    </w:p>
    <w:p>
      <w:pPr>
        <w:spacing w:before="0" w:after="140" w:line="264" w:lineRule="auto"/>
        <w:jc w:val="both"/>
      </w:pPr>
      <w:r>
        <w:rPr>
          <w:rFonts w:ascii="Arial" w:hAnsi="Arial" w:cs="Arial"/>
          <w:sz w:val="20"/>
          <w:szCs w:val="20"/>
        </w:rPr>
        <w:t xml:space="preserve">Food safety issues often require local coordination. ULAP recommends that the Secretariat maintain a clear channel for coordination with DILG, ULAP, the LGU leagues, and concerned LGUs, especially where Board actions affect local markets, slaughterhouses, food establishments, public health offices, agriculture offices, veterinary offices, or local permitting systems.</w:t>
      </w:r>
    </w:p>
    <w:p>
      <w:pPr>
        <w:keepNext/>
        <w:spacing w:before="180" w:after="90" w:line="264" w:lineRule="auto"/>
        <w:jc w:val="both"/>
      </w:pPr>
      <w:r>
        <w:rPr>
          <w:rFonts w:ascii="Arial" w:hAnsi="Arial" w:cs="Arial"/>
          <w:b/>
          <w:bCs/>
          <w:sz w:val="20"/>
          <w:szCs w:val="20"/>
        </w:rPr>
        <w:t xml:space="preserve">3. Preserve local regulatory and implementation roles.</w:t>
      </w:r>
    </w:p>
    <w:p>
      <w:pPr>
        <w:spacing w:before="0" w:after="140" w:line="264" w:lineRule="auto"/>
        <w:jc w:val="both"/>
      </w:pPr>
      <w:r>
        <w:rPr>
          <w:rFonts w:ascii="Arial" w:hAnsi="Arial" w:cs="Arial"/>
          <w:sz w:val="20"/>
          <w:szCs w:val="20"/>
        </w:rPr>
        <w:t xml:space="preserve">The resolution should not be read to displace existing local authority under applicable laws, ordinances, and delegated regulatory arrangements. Local governments remain critical implementation partners for sanitation, market administration, local health measures, business permitting, and other functions within their legal authority.</w:t>
      </w:r>
    </w:p>
    <w:p>
      <w:pPr>
        <w:spacing w:before="0" w:after="140" w:line="264" w:lineRule="auto"/>
        <w:jc w:val="both"/>
      </w:pPr>
      <w:r>
        <w:rPr>
          <w:rFonts w:ascii="Arial" w:hAnsi="Arial" w:cs="Arial"/>
          <w:sz w:val="20"/>
          <w:szCs w:val="20"/>
        </w:rPr>
        <w:t xml:space="preserve">ULAP proposes language recognizing that FSRCB Secretariat actions involving local implementation shall be coordinated with the concerned national agencies and LGUs in accordance with law.</w:t>
      </w:r>
    </w:p>
    <w:p>
      <w:pPr>
        <w:keepNext/>
        <w:spacing w:before="180" w:after="90" w:line="264" w:lineRule="auto"/>
        <w:jc w:val="both"/>
      </w:pPr>
      <w:r>
        <w:rPr>
          <w:rFonts w:ascii="Arial" w:hAnsi="Arial" w:cs="Arial"/>
          <w:b/>
          <w:bCs/>
          <w:sz w:val="20"/>
          <w:szCs w:val="20"/>
        </w:rPr>
        <w:t xml:space="preserve">4. Require timely dissemination of Board issuances affecting LGUs.</w:t>
      </w:r>
    </w:p>
    <w:p>
      <w:pPr>
        <w:spacing w:before="0" w:after="140" w:line="264" w:lineRule="auto"/>
        <w:jc w:val="both"/>
      </w:pPr>
      <w:r>
        <w:rPr>
          <w:rFonts w:ascii="Arial" w:hAnsi="Arial" w:cs="Arial"/>
          <w:sz w:val="20"/>
          <w:szCs w:val="20"/>
        </w:rPr>
        <w:t xml:space="preserve">LGUs need timely access to Board decisions, standards, advisories, and implementation guidance. ULAP urges the Secretariat to maintain a dissemination protocol for LGU-relevant issuances, including transmittal through DILG, ULAP, the LGU leagues, and appropriate regional offices.</w:t>
      </w:r>
    </w:p>
    <w:p>
      <w:pPr>
        <w:keepNext/>
        <w:spacing w:before="180" w:after="90" w:line="264" w:lineRule="auto"/>
        <w:jc w:val="both"/>
      </w:pPr>
      <w:r>
        <w:rPr>
          <w:rFonts w:ascii="Arial" w:hAnsi="Arial" w:cs="Arial"/>
          <w:b/>
          <w:bCs/>
          <w:sz w:val="20"/>
          <w:szCs w:val="20"/>
        </w:rPr>
        <w:t xml:space="preserve">5. Support capacity-building and technical assistance.</w:t>
      </w:r>
    </w:p>
    <w:p>
      <w:pPr>
        <w:spacing w:before="0" w:after="140" w:line="264" w:lineRule="auto"/>
        <w:jc w:val="both"/>
      </w:pPr>
      <w:r>
        <w:rPr>
          <w:rFonts w:ascii="Arial" w:hAnsi="Arial" w:cs="Arial"/>
          <w:sz w:val="20"/>
          <w:szCs w:val="20"/>
        </w:rPr>
        <w:t xml:space="preserve">Food safety implementation depends on local capacity. Where Board actions require local participation, the Secretariat should help coordinate training, standard templates, technical guidance, and agency support. This will reduce inconsistent implementation and improve compliance.</w:t>
      </w:r>
    </w:p>
    <w:p>
      <w:pPr>
        <w:keepNext/>
        <w:spacing w:before="180" w:after="90" w:line="264" w:lineRule="auto"/>
        <w:jc w:val="both"/>
      </w:pPr>
      <w:r>
        <w:rPr>
          <w:rFonts w:ascii="Arial" w:hAnsi="Arial" w:cs="Arial"/>
          <w:b/>
          <w:bCs/>
          <w:sz w:val="20"/>
          <w:szCs w:val="20"/>
        </w:rPr>
        <w:t xml:space="preserve">6. Include local implementation feedback in FSRCB monitoring.</w:t>
      </w:r>
    </w:p>
    <w:p>
      <w:pPr>
        <w:spacing w:before="0" w:after="140" w:line="264" w:lineRule="auto"/>
        <w:jc w:val="both"/>
      </w:pPr>
      <w:r>
        <w:rPr>
          <w:rFonts w:ascii="Arial" w:hAnsi="Arial" w:cs="Arial"/>
          <w:sz w:val="20"/>
          <w:szCs w:val="20"/>
        </w:rPr>
        <w:t xml:space="preserve">ULAP recommends that the Secretariat periodically collect implementation feedback from LGUs and local leagues on Board issuances affecting local operations. This feedback should inform future guidelines, capacity-building, and regulatory coordination.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designation of DOH and DA personnel as the FSRCB Administrative and Technical Secretariat, subject to refinements that clarify the absence of implied new LGU mandates, establish a direct LGU coordination channel, preserve local implementation roles, require timely dissemination of LGU-relevant issuances, and include local feedback in implementation monitoring.</w:t>
      </w:r>
    </w:p>
    <w:p>
      <w:pPr>
        <w:spacing w:before="0" w:after="140" w:line="264" w:lineRule="auto"/>
        <w:jc w:val="both"/>
      </w:pPr>
      <w:r>
        <w:rPr>
          <w:rFonts w:ascii="Arial" w:hAnsi="Arial" w:cs="Arial"/>
          <w:sz w:val="20"/>
          <w:szCs w:val="20"/>
        </w:rPr>
        <w:t xml:space="preserve">With these refinements, the resolution can strengthen FSRCB operations while improving the practical connection between national food safety coordination and local implementation.</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