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pPr>
      <w:r>
        <w:rPr>
          <w:b/>
          <w:color w:val="B23B3B"/>
          <w:sz w:val="22"/>
        </w:rPr>
        <w:t>CONFIDENTIAL — ULAP INTERNAL WORKING DRAFT</w:t>
      </w:r>
    </w:p>
    <w:p>
      <w:pPr>
        <w:jc w:val="left"/>
      </w:pPr>
      <w:r>
        <w:rPr>
          <w:i/>
          <w:color w:val="5A6473"/>
          <w:sz w:val="18"/>
        </w:rPr>
        <w:t>This is an internal working draft of the Union of Local Authorities of the Philippines (ULAP) National Executive Board. It must not be circulated, published, or forwarded outside ULAP without prior approval of the ULAP National Executive Board.</w:t>
      </w:r>
    </w:p>
    <w:p/>
    <w:p>
      <w:pPr>
        <w:spacing w:before="0" w:after="0" w:line="1980" w:lineRule="exact"/>
        <w:jc w:val="left"/>
      </w:pPr>
    </w:p>
    <w:p>
      <w:pPr>
        <w:spacing w:before="0" w:after="40" w:line="264" w:lineRule="auto"/>
        <w:jc w:val="center"/>
      </w:pPr>
      <w:r>
        <w:rPr>
          <w:rFonts w:ascii="Arial" w:hAnsi="Arial" w:cs="Arial"/>
          <w:b/>
          <w:bCs/>
          <w:sz w:val="24"/>
          <w:szCs w:val="24"/>
        </w:rPr>
        <w:t xml:space="preserve">COMMENTS ON THE FDA REGULATORY SANDBOX POLICY</w:t>
      </w:r>
    </w:p>
    <w:p>
      <w:pPr>
        <w:spacing w:before="40" w:after="200" w:line="264" w:lineRule="auto"/>
        <w:jc w:val="center"/>
      </w:pPr>
      <w:r>
        <w:rPr>
          <w:rFonts w:ascii="Arial" w:hAnsi="Arial" w:cs="Arial"/>
          <w:b/>
          <w:bCs/>
          <w:sz w:val="24"/>
          <w:szCs w:val="24"/>
        </w:rPr>
        <w:t xml:space="preserve">FOR REFILLING GUIDELINES UNDER DOH AO NO. 2024-0008</w:t>
      </w:r>
    </w:p>
    <w:p>
      <w:pPr>
        <w:spacing w:before="0" w:after="140" w:line="264" w:lineRule="auto"/>
        <w:jc w:val="both"/>
      </w:pPr>
      <w:r>
        <w:rPr>
          <w:rFonts w:ascii="Arial" w:hAnsi="Arial" w:cs="Arial"/>
          <w:sz w:val="20"/>
          <w:szCs w:val="20"/>
        </w:rPr>
        <w:t xml:space="preserve">Submitted to the Food and Drug Administration, Center for Cosmetics and Household/Urban Hazardous Substances Regulation and Research, on the request for comments on the regulatory sandbox policy for establishments engaged in refilling activity under DOH Administrative Order No. 2024-0008.</w:t>
      </w:r>
    </w:p>
    <w:p>
      <w:pPr>
        <w:keepNext/>
        <w:spacing w:before="220" w:after="100" w:line="264" w:lineRule="auto"/>
        <w:jc w:val="left"/>
      </w:pPr>
      <w:r>
        <w:rPr>
          <w:rFonts w:ascii="Arial" w:hAnsi="Arial" w:cs="Arial"/>
          <w:b/>
          <w:bCs/>
          <w:sz w:val="20"/>
          <w:szCs w:val="20"/>
        </w:rPr>
        <w:t xml:space="preserve">Executive Position</w:t>
      </w:r>
    </w:p>
    <w:p>
      <w:pPr>
        <w:spacing w:before="0" w:after="140" w:line="264" w:lineRule="auto"/>
        <w:jc w:val="both"/>
      </w:pPr>
      <w:r>
        <w:rPr>
          <w:rFonts w:ascii="Arial" w:hAnsi="Arial" w:cs="Arial"/>
          <w:sz w:val="20"/>
          <w:szCs w:val="20"/>
        </w:rPr>
        <w:t xml:space="preserve">The Union of Local Authorities of the Philippines (ULAP) supports the objective of enabling safe, accountable, and innovative refilling models that can reduce plastic waste, support circular-economy practices, and improve regulatory clarity for micro, small, and medium enterprises. Refill systems can help cut packaging waste where consumer safety, product integrity, traceability, and local implementation responsibilities are clearly addressed.</w:t>
      </w:r>
    </w:p>
    <w:p>
      <w:pPr>
        <w:spacing w:before="0" w:after="140" w:line="264" w:lineRule="auto"/>
        <w:jc w:val="both"/>
      </w:pPr>
      <w:r>
        <w:rPr>
          <w:rFonts w:ascii="Arial" w:hAnsi="Arial" w:cs="Arial"/>
          <w:sz w:val="20"/>
          <w:szCs w:val="20"/>
        </w:rPr>
        <w:t xml:space="preserve">ULAP submits that the regulatory sandbox policy should be refined to clarify the role of LGUs, coordinate with DENR and Extended Producer Responsibility (EPR) implementation, protect consumers, and avoid shifting inspection or monitoring burdens to local governments without standards, training, or resources.</w:t>
      </w:r>
    </w:p>
    <w:p>
      <w:pPr>
        <w:keepNext/>
        <w:spacing w:before="220" w:after="100" w:line="264" w:lineRule="auto"/>
        <w:jc w:val="left"/>
      </w:pPr>
      <w:r>
        <w:rPr>
          <w:rFonts w:ascii="Arial" w:hAnsi="Arial" w:cs="Arial"/>
          <w:b/>
          <w:bCs/>
          <w:sz w:val="20"/>
          <w:szCs w:val="20"/>
        </w:rPr>
        <w:t xml:space="preserve">Policy Appreciation</w:t>
      </w:r>
    </w:p>
    <w:p>
      <w:pPr>
        <w:spacing w:before="0" w:after="140" w:line="264" w:lineRule="auto"/>
        <w:jc w:val="both"/>
      </w:pPr>
      <w:r>
        <w:rPr>
          <w:rFonts w:ascii="Arial" w:hAnsi="Arial" w:cs="Arial"/>
          <w:sz w:val="20"/>
          <w:szCs w:val="20"/>
        </w:rPr>
        <w:t xml:space="preserve">ULAP recognizes the value of a regulatory sandbox. Refilling models are evolving, and regulators need a controlled pathway to test innovative approaches while protecting public health. A sandbox can help responsible enterprises comply, generate data, and identify workable standards before wider adoption.</w:t>
      </w:r>
    </w:p>
    <w:p>
      <w:pPr>
        <w:spacing w:before="0" w:after="140" w:line="264" w:lineRule="auto"/>
        <w:jc w:val="both"/>
      </w:pPr>
      <w:r>
        <w:rPr>
          <w:rFonts w:ascii="Arial" w:hAnsi="Arial" w:cs="Arial"/>
          <w:sz w:val="20"/>
          <w:szCs w:val="20"/>
        </w:rPr>
        <w:t xml:space="preserve">Refilling activities will operate in local communities, commercial establishments, public markets, malls, sari-sari store networks, barangays, and other local settings. LGUs will likely encounter these establishments through business permitting, sanitation concerns, market administration, waste-management coordination, and consumer complaints. The policy should therefore be designed with local implementation in mind.</w:t>
      </w:r>
    </w:p>
    <w:p>
      <w:pPr>
        <w:keepNext/>
        <w:spacing w:before="220" w:after="100" w:line="264" w:lineRule="auto"/>
        <w:jc w:val="left"/>
      </w:pPr>
      <w:r>
        <w:rPr>
          <w:rFonts w:ascii="Arial" w:hAnsi="Arial" w:cs="Arial"/>
          <w:b/>
          <w:bCs/>
          <w:sz w:val="20"/>
          <w:szCs w:val="20"/>
        </w:rPr>
        <w:t xml:space="preserve">ULAP Position and Recommendations</w:t>
      </w:r>
    </w:p>
    <w:p>
      <w:pPr>
        <w:keepNext/>
        <w:spacing w:before="180" w:after="90" w:line="264" w:lineRule="auto"/>
        <w:jc w:val="both"/>
      </w:pPr>
      <w:r>
        <w:rPr>
          <w:rFonts w:ascii="Arial" w:hAnsi="Arial" w:cs="Arial"/>
          <w:b/>
          <w:bCs/>
          <w:sz w:val="20"/>
          <w:szCs w:val="20"/>
        </w:rPr>
        <w:t xml:space="preserve">1. Clarify the specific role of LGUs in the sandbox.</w:t>
      </w:r>
    </w:p>
    <w:p>
      <w:pPr>
        <w:spacing w:before="0" w:after="140" w:line="264" w:lineRule="auto"/>
        <w:jc w:val="both"/>
      </w:pPr>
      <w:r>
        <w:rPr>
          <w:rFonts w:ascii="Arial" w:hAnsi="Arial" w:cs="Arial"/>
          <w:sz w:val="20"/>
          <w:szCs w:val="20"/>
        </w:rPr>
        <w:t xml:space="preserve">The policy should define whether LGUs are expected to verify permits, assist in monitoring, receive notices, support complaint handling, coordinate waste-management data, or participate in enforcement. Vague references to local coordination may produce uneven implementation.</w:t>
      </w:r>
    </w:p>
    <w:p>
      <w:pPr>
        <w:spacing w:before="0" w:after="140" w:line="264" w:lineRule="auto"/>
        <w:jc w:val="both"/>
      </w:pPr>
      <w:r>
        <w:rPr>
          <w:rFonts w:ascii="Arial" w:hAnsi="Arial" w:cs="Arial"/>
          <w:sz w:val="20"/>
          <w:szCs w:val="20"/>
        </w:rPr>
        <w:t xml:space="preserve">ULAP recommends a dedicated provision stating the expected LGU interface, including information-sharing, referral pathways, and coordination with local health, business-permitting, environmental, and sanitation offices where applicable.</w:t>
      </w:r>
    </w:p>
    <w:p>
      <w:pPr>
        <w:keepNext/>
        <w:spacing w:before="180" w:after="90" w:line="264" w:lineRule="auto"/>
        <w:jc w:val="both"/>
      </w:pPr>
      <w:r>
        <w:rPr>
          <w:rFonts w:ascii="Arial" w:hAnsi="Arial" w:cs="Arial"/>
          <w:b/>
          <w:bCs/>
          <w:sz w:val="20"/>
          <w:szCs w:val="20"/>
        </w:rPr>
        <w:t xml:space="preserve">2. Keep FDA as the lead technical regulator for product safety.</w:t>
      </w:r>
    </w:p>
    <w:p>
      <w:pPr>
        <w:spacing w:before="0" w:after="140" w:line="264" w:lineRule="auto"/>
        <w:jc w:val="both"/>
      </w:pPr>
      <w:r>
        <w:rPr>
          <w:rFonts w:ascii="Arial" w:hAnsi="Arial" w:cs="Arial"/>
          <w:sz w:val="20"/>
          <w:szCs w:val="20"/>
        </w:rPr>
        <w:t xml:space="preserve">Refilling activity involving cosmetics and household/urban hazardous substances requires specialized standards. FDA should remain the lead authority for licensing, product safety, labeling, Good Refilling Practices, authorization pathways, and technical compliance.</w:t>
      </w:r>
    </w:p>
    <w:p>
      <w:pPr>
        <w:spacing w:before="0" w:after="140" w:line="264" w:lineRule="auto"/>
        <w:jc w:val="both"/>
      </w:pPr>
      <w:r>
        <w:rPr>
          <w:rFonts w:ascii="Arial" w:hAnsi="Arial" w:cs="Arial"/>
          <w:sz w:val="20"/>
          <w:szCs w:val="20"/>
        </w:rPr>
        <w:t xml:space="preserve">ULAP proposes language clarifying that any LGU involvement shall support, and not substitute for, FDA's technical regulatory authority.</w:t>
      </w:r>
    </w:p>
    <w:p>
      <w:pPr>
        <w:keepNext/>
        <w:spacing w:before="180" w:after="90" w:line="264" w:lineRule="auto"/>
        <w:jc w:val="both"/>
      </w:pPr>
      <w:r>
        <w:rPr>
          <w:rFonts w:ascii="Arial" w:hAnsi="Arial" w:cs="Arial"/>
          <w:b/>
          <w:bCs/>
          <w:sz w:val="20"/>
          <w:szCs w:val="20"/>
        </w:rPr>
        <w:t xml:space="preserve">3. Avoid unfunded inspection and monitoring burdens on LGUs.</w:t>
      </w:r>
    </w:p>
    <w:p>
      <w:pPr>
        <w:spacing w:before="0" w:after="140" w:line="264" w:lineRule="auto"/>
        <w:jc w:val="both"/>
      </w:pPr>
      <w:r>
        <w:rPr>
          <w:rFonts w:ascii="Arial" w:hAnsi="Arial" w:cs="Arial"/>
          <w:sz w:val="20"/>
          <w:szCs w:val="20"/>
        </w:rPr>
        <w:t xml:space="preserve">LGUs should not be expected to perform technical inspections without clear standards, training, and resources. If local participation is required, the policy should provide standard checklists, referral protocols, and training support.</w:t>
      </w:r>
    </w:p>
    <w:p>
      <w:pPr>
        <w:spacing w:before="0" w:after="140" w:line="264" w:lineRule="auto"/>
        <w:jc w:val="both"/>
      </w:pPr>
      <w:r>
        <w:rPr>
          <w:rFonts w:ascii="Arial" w:hAnsi="Arial" w:cs="Arial"/>
          <w:sz w:val="20"/>
          <w:szCs w:val="20"/>
        </w:rPr>
        <w:t xml:space="preserve">ULAP urges that FDA, DILG, DENR, and ULAP coordinate on practical guidance for LGUs before local implementation responsibilities are assigned.</w:t>
      </w:r>
    </w:p>
    <w:p>
      <w:pPr>
        <w:keepNext/>
        <w:spacing w:before="180" w:after="90" w:line="264" w:lineRule="auto"/>
        <w:jc w:val="both"/>
      </w:pPr>
      <w:r>
        <w:rPr>
          <w:rFonts w:ascii="Arial" w:hAnsi="Arial" w:cs="Arial"/>
          <w:b/>
          <w:bCs/>
          <w:sz w:val="20"/>
          <w:szCs w:val="20"/>
        </w:rPr>
        <w:t xml:space="preserve">4. Align sandbox data with DENR and EPR implementation while protecting privacy and business confidentiality.</w:t>
      </w:r>
    </w:p>
    <w:p>
      <w:pPr>
        <w:spacing w:before="0" w:after="140" w:line="264" w:lineRule="auto"/>
        <w:jc w:val="both"/>
      </w:pPr>
      <w:r>
        <w:rPr>
          <w:rFonts w:ascii="Arial" w:hAnsi="Arial" w:cs="Arial"/>
          <w:sz w:val="20"/>
          <w:szCs w:val="20"/>
        </w:rPr>
        <w:t xml:space="preserve">The policy contemplates information-sharing with DENR for Extended Producer Responsibility implementation. ULAP supports useful data-sharing, provided that data fields, purposes, confidentiality safeguards, and local access rights are clear.</w:t>
      </w:r>
    </w:p>
    <w:p>
      <w:pPr>
        <w:spacing w:before="0" w:after="140" w:line="264" w:lineRule="auto"/>
        <w:jc w:val="both"/>
      </w:pPr>
      <w:r>
        <w:rPr>
          <w:rFonts w:ascii="Arial" w:hAnsi="Arial" w:cs="Arial"/>
          <w:sz w:val="20"/>
          <w:szCs w:val="20"/>
        </w:rPr>
        <w:t xml:space="preserve">Information collected from refilling establishments should be structured to support waste-reduction planning, EPR monitoring, consumer protection, and local policy design, while protecting personal data and confidential business information.</w:t>
      </w:r>
    </w:p>
    <w:p>
      <w:pPr>
        <w:keepNext/>
        <w:spacing w:before="180" w:after="90" w:line="264" w:lineRule="auto"/>
        <w:jc w:val="both"/>
      </w:pPr>
      <w:r>
        <w:rPr>
          <w:rFonts w:ascii="Arial" w:hAnsi="Arial" w:cs="Arial"/>
          <w:b/>
          <w:bCs/>
          <w:sz w:val="20"/>
          <w:szCs w:val="20"/>
        </w:rPr>
        <w:t xml:space="preserve">5. Require consumer-facing safeguards.</w:t>
      </w:r>
    </w:p>
    <w:p>
      <w:pPr>
        <w:spacing w:before="0" w:after="140" w:line="264" w:lineRule="auto"/>
        <w:jc w:val="both"/>
      </w:pPr>
      <w:r>
        <w:rPr>
          <w:rFonts w:ascii="Arial" w:hAnsi="Arial" w:cs="Arial"/>
          <w:sz w:val="20"/>
          <w:szCs w:val="20"/>
        </w:rPr>
        <w:t xml:space="preserve">Consumers should be able to identify authorized refilling establishments, product identity, batch or source information, safety instructions, complaint channels, and recall procedures. This matters most where refilling occurs outside traditional retail settings.</w:t>
      </w:r>
    </w:p>
    <w:p>
      <w:pPr>
        <w:spacing w:before="0" w:after="140" w:line="264" w:lineRule="auto"/>
        <w:jc w:val="both"/>
      </w:pPr>
      <w:r>
        <w:rPr>
          <w:rFonts w:ascii="Arial" w:hAnsi="Arial" w:cs="Arial"/>
          <w:sz w:val="20"/>
          <w:szCs w:val="20"/>
        </w:rPr>
        <w:t xml:space="preserve">ULAP recommends clear consumer-facing labeling, signage, receipt, and complaint-handling requirements as part of Good Refilling Practices.</w:t>
      </w:r>
    </w:p>
    <w:p>
      <w:pPr>
        <w:keepNext/>
        <w:spacing w:before="180" w:after="90" w:line="264" w:lineRule="auto"/>
        <w:jc w:val="both"/>
      </w:pPr>
      <w:r>
        <w:rPr>
          <w:rFonts w:ascii="Arial" w:hAnsi="Arial" w:cs="Arial"/>
          <w:b/>
          <w:bCs/>
          <w:sz w:val="20"/>
          <w:szCs w:val="20"/>
        </w:rPr>
        <w:t xml:space="preserve">6. Pilot implementation in coordination with host LGUs.</w:t>
      </w:r>
    </w:p>
    <w:p>
      <w:pPr>
        <w:spacing w:before="0" w:after="140" w:line="264" w:lineRule="auto"/>
        <w:jc w:val="both"/>
      </w:pPr>
      <w:r>
        <w:rPr>
          <w:rFonts w:ascii="Arial" w:hAnsi="Arial" w:cs="Arial"/>
          <w:sz w:val="20"/>
          <w:szCs w:val="20"/>
        </w:rPr>
        <w:t xml:space="preserve">The sandbox should use pilot sites or authorized participants that are known to host LGUs. This will allow FDA, DENR, DILG, and LGUs to identify local permitting questions, waste-management interfaces, consumer complaints, and enforcement issues before broader rollout.</w:t>
      </w:r>
    </w:p>
    <w:p>
      <w:pPr>
        <w:spacing w:before="0" w:after="140" w:line="264" w:lineRule="auto"/>
        <w:jc w:val="both"/>
      </w:pPr>
      <w:r>
        <w:rPr>
          <w:rFonts w:ascii="Arial" w:hAnsi="Arial" w:cs="Arial"/>
          <w:sz w:val="20"/>
          <w:szCs w:val="20"/>
        </w:rPr>
        <w:t xml:space="preserve">Participating establishments should notify the concerned LGU upon authorization, and pilot results should include local implementation feedback.</w:t>
      </w:r>
    </w:p>
    <w:p>
      <w:pPr>
        <w:keepNext/>
        <w:spacing w:before="180" w:after="90" w:line="264" w:lineRule="auto"/>
        <w:jc w:val="both"/>
      </w:pPr>
      <w:r>
        <w:rPr>
          <w:rFonts w:ascii="Arial" w:hAnsi="Arial" w:cs="Arial"/>
          <w:b/>
          <w:bCs/>
          <w:sz w:val="20"/>
          <w:szCs w:val="20"/>
        </w:rPr>
        <w:t xml:space="preserve">7. Include ULAP and the LGU leagues in implementation review.</w:t>
      </w:r>
    </w:p>
    <w:p>
      <w:pPr>
        <w:spacing w:before="0" w:after="140" w:line="264" w:lineRule="auto"/>
        <w:jc w:val="both"/>
      </w:pPr>
      <w:r>
        <w:rPr>
          <w:rFonts w:ascii="Arial" w:hAnsi="Arial" w:cs="Arial"/>
          <w:sz w:val="20"/>
          <w:szCs w:val="20"/>
        </w:rPr>
        <w:t xml:space="preserve">Because the policy intersects with local permitting, sanitation, waste management, and consumer-facing implementation, ULAP and the LGU leagues should participate in reviewing the sandbox experience and preparing any wider rollout guidance.</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the regulatory sandbox policy for refilling guidelines subject to refinements that clarify LGU roles, keep FDA as lead technical regulator, avoid unfunded local inspection burdens, align data-sharing with DENR and EPR safeguards, strengthen consumer-facing protections, and require host-LGU coordination for pilot implementation.</w:t>
      </w:r>
    </w:p>
    <w:p>
      <w:pPr>
        <w:spacing w:before="0" w:after="140" w:line="264" w:lineRule="auto"/>
        <w:jc w:val="both"/>
      </w:pPr>
      <w:r>
        <w:rPr>
          <w:rFonts w:ascii="Arial" w:hAnsi="Arial" w:cs="Arial"/>
          <w:sz w:val="20"/>
          <w:szCs w:val="20"/>
        </w:rPr>
        <w:t xml:space="preserve">With these safeguards, the policy can promote sustainable refilling systems while protecting consumers and giving LGUs a clear, workable role in local implementation.</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jc w:val="center"/>
    </w:pPr>
    <w:r/>
    <w:r>
      <w:rPr>
        <w:color w:val="8A93A3"/>
        <w:sz w:val="16"/>
      </w:rPr>
      <w:t>ULAP Internal Document — Not for circulation without NEB Board approval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