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0D9488"/>
          <w:spacing w:val="200"/>
          <w:sz w:val="28"/>
          <w:szCs w:val="28"/>
        </w:rPr>
        <w:t xml:space="preserve">BETTERHEALTH AFRICA</w:t>
      </w:r>
    </w:p>
    <w:p>
      <w:pPr>
        <w:pBdr>
          <w:bottom w:val="single" w:color="0D9488" w:sz="3" w:space="12"/>
        </w:pBdr>
        <w:spacing w:after="200"/>
        <w:jc w:val="center"/>
      </w:pPr>
      <w:r>
        <w:rPr>
          <w:rFonts w:ascii="Arial" w:cs="Arial" w:eastAsia="Arial" w:hAnsi="Arial"/>
          <w:b/>
          <w:bCs/>
          <w:color w:val="1A1A2E"/>
          <w:sz w:val="44"/>
          <w:szCs w:val="44"/>
        </w:rPr>
        <w:t xml:space="preserve">Website Strategy &amp; Competitive Analysis</w:t>
      </w:r>
    </w:p>
    <w:p>
      <w:pPr>
        <w:spacing w:after="100" w:before="200"/>
        <w:jc w:val="center"/>
      </w:pPr>
      <w:r>
        <w:rPr>
          <w:rFonts w:ascii="Arial" w:cs="Arial" w:eastAsia="Arial" w:hAnsi="Arial"/>
          <w:i/>
          <w:iCs/>
          <w:color w:val="6B7280"/>
          <w:sz w:val="24"/>
          <w:szCs w:val="24"/>
        </w:rPr>
        <w:t xml:space="preserve">Lessons from Function Health, Geviti, Empirical Health &amp; Nucleus</w:t>
      </w:r>
    </w:p>
    <w:p>
      <w:pPr>
        <w:spacing w:after="40" w:before="600"/>
        <w:jc w:val="center"/>
      </w:pPr>
      <w:r>
        <w:rPr>
          <w:rFonts w:ascii="Arial" w:cs="Arial" w:eastAsia="Arial" w:hAnsi="Arial"/>
          <w:color w:val="6B7280"/>
          <w:sz w:val="22"/>
          <w:szCs w:val="22"/>
        </w:rPr>
        <w:t xml:space="preserve">Prepared for Damzi — VP of Product</w:t>
      </w:r>
    </w:p>
    <w:p>
      <w:pPr>
        <w:spacing w:after="40"/>
        <w:jc w:val="center"/>
      </w:pPr>
      <w:r>
        <w:rPr>
          <w:rFonts w:ascii="Arial" w:cs="Arial" w:eastAsia="Arial" w:hAnsi="Arial"/>
          <w:color w:val="6B7280"/>
          <w:sz w:val="22"/>
          <w:szCs w:val="22"/>
        </w:rPr>
        <w:t xml:space="preserve">March 31, 2026</w:t>
      </w:r>
    </w:p>
    <w:p>
      <w:r>
        <w:br w:type="page"/>
      </w:r>
    </w:p>
    <w:p>
      <w:pPr>
        <w:pStyle w:val="Heading1"/>
        <w:spacing w:after="200" w:before="360"/>
      </w:pPr>
      <w:r>
        <w:rPr>
          <w:rFonts w:ascii="Arial" w:cs="Arial" w:eastAsia="Arial" w:hAnsi="Arial"/>
          <w:b/>
          <w:bCs/>
        </w:rPr>
        <w:t xml:space="preserve">Executive Summary</w:t>
      </w:r>
    </w:p>
    <w:p>
      <w:pPr>
        <w:spacing w:after="120" w:before="0" w:line="276"/>
        <w:jc w:val="left"/>
      </w:pPr>
      <w:r>
        <w:rPr>
          <w:rFonts w:ascii="Arial" w:cs="Arial" w:eastAsia="Arial" w:hAnsi="Arial"/>
          <w:color w:val="374151"/>
          <w:sz w:val="22"/>
          <w:szCs w:val="22"/>
        </w:rPr>
        <w:t xml:space="preserve">This document distills the best design, UX, copy, and interaction patterns from four world-class health technology websites — Function Health, Geviti, Empirical Health, and Nucleus Genomics — into a unified blueprint for BetterHealth Africa’s new marketing website.</w:t>
      </w:r>
    </w:p>
    <w:p>
      <w:pPr>
        <w:spacing w:after="120" w:before="0" w:line="276"/>
        <w:jc w:val="left"/>
      </w:pPr>
      <w:r>
        <w:rPr>
          <w:rFonts w:ascii="Arial" w:cs="Arial" w:eastAsia="Arial" w:hAnsi="Arial"/>
          <w:color w:val="374151"/>
          <w:sz w:val="22"/>
          <w:szCs w:val="22"/>
        </w:rPr>
        <w:t xml:space="preserve">Each competitor operates in the preventive health / lab testing space and targets a consumer audience willing to pay for proactive health insights. While their products differ (genomics, heart health, longevity panels), their websites share common patterns that convert visitors into paying members. BetterHealth Africa can adopt the best of these patterns while differentiating for the African market.</w:t>
      </w:r>
    </w:p>
    <w:p>
      <w:pPr>
        <w:spacing w:after="120" w:before="0" w:line="276"/>
        <w:jc w:val="left"/>
      </w:pPr>
      <w:r>
        <w:rPr>
          <w:rFonts w:ascii="Arial" w:cs="Arial" w:eastAsia="Arial" w:hAnsi="Arial"/>
          <w:color w:val="374151"/>
          <w:sz w:val="22"/>
          <w:szCs w:val="22"/>
        </w:rPr>
        <w:t xml:space="preserve">The document is structured in four parts: individual competitor analysis, a cross-competitor comparison matrix, the recommended BetterHealth website architecture, and section-by-section design specifications.</w:t>
      </w:r>
    </w:p>
    <w:p>
      <w:pPr>
        <w:pBdr>
          <w:bottom w:val="single" w:color="0D9488" w:sz="2" w:space="8"/>
        </w:pBdr>
        <w:spacing w:after="100" w:before="100"/>
      </w:pPr>
    </w:p>
    <w:p>
      <w:r>
        <w:br w:type="page"/>
      </w:r>
    </w:p>
    <w:p>
      <w:pPr>
        <w:pStyle w:val="Heading1"/>
        <w:spacing w:after="200" w:before="360"/>
      </w:pPr>
      <w:r>
        <w:rPr>
          <w:rFonts w:ascii="Arial" w:cs="Arial" w:eastAsia="Arial" w:hAnsi="Arial"/>
          <w:b/>
          <w:bCs/>
        </w:rPr>
        <w:t xml:space="preserve">Part 1: Competitor Deep Dives</w:t>
      </w:r>
    </w:p>
    <w:p>
      <w:pPr>
        <w:pStyle w:val="Heading2"/>
        <w:spacing w:after="200" w:before="360"/>
      </w:pPr>
      <w:r>
        <w:rPr>
          <w:rFonts w:ascii="Arial" w:cs="Arial" w:eastAsia="Arial" w:hAnsi="Arial"/>
          <w:b/>
          <w:bCs/>
        </w:rPr>
        <w:t xml:space="preserve">1. Function Health</w:t>
      </w:r>
    </w:p>
    <w:p>
      <w:pPr>
        <w:spacing w:after="120" w:before="0" w:line="276"/>
        <w:jc w:val="left"/>
      </w:pPr>
      <w:r>
        <w:rPr>
          <w:rFonts w:ascii="Arial" w:cs="Arial" w:eastAsia="Arial" w:hAnsi="Arial"/>
          <w:i/>
          <w:iCs/>
          <w:color w:val="6B7280"/>
          <w:sz w:val="22"/>
          <w:szCs w:val="22"/>
        </w:rPr>
        <w:t xml:space="preserve">functionhealth.com</w:t>
      </w:r>
    </w:p>
    <w:p>
      <w:pPr>
        <w:pStyle w:val="Heading3"/>
        <w:spacing w:after="200" w:before="360"/>
      </w:pPr>
      <w:r>
        <w:rPr>
          <w:rFonts w:ascii="Arial" w:cs="Arial" w:eastAsia="Arial" w:hAnsi="Arial"/>
          <w:b/>
          <w:bCs/>
        </w:rPr>
        <w:t xml:space="preserve">What They Do</w:t>
      </w:r>
    </w:p>
    <w:p>
      <w:pPr>
        <w:spacing w:after="120" w:before="0" w:line="276"/>
        <w:jc w:val="left"/>
      </w:pPr>
      <w:r>
        <w:rPr>
          <w:rFonts w:ascii="Arial" w:cs="Arial" w:eastAsia="Arial" w:hAnsi="Arial"/>
          <w:color w:val="374151"/>
          <w:sz w:val="22"/>
          <w:szCs w:val="22"/>
        </w:rPr>
        <w:t xml:space="preserve">Function Health offers 160+ lab tests twice per year for $365/year ($1/day). Tests are conducted at 2,000+ Quest Diagnostics locations across the US. The platform tracks biomarkers over time, provides doctor-written insights, and generates personalized action protocols. They also offer MRI and CT scans as add-ons.</w:t>
      </w:r>
    </w:p>
    <w:p>
      <w:pPr>
        <w:pStyle w:val="Heading3"/>
        <w:spacing w:after="200" w:before="360"/>
      </w:pPr>
      <w:r>
        <w:rPr>
          <w:rFonts w:ascii="Arial" w:cs="Arial" w:eastAsia="Arial" w:hAnsi="Arial"/>
          <w:b/>
          <w:bCs/>
        </w:rPr>
        <w:t xml:space="preserve">Design Language</w:t>
      </w:r>
    </w:p>
    <w:p>
      <w:pPr>
        <w:spacing w:after="120" w:before="0" w:line="276"/>
        <w:jc w:val="left"/>
      </w:pPr>
      <w:r>
        <w:rPr>
          <w:rFonts w:ascii="Arial" w:cs="Arial" w:eastAsia="Arial" w:hAnsi="Arial"/>
          <w:color w:val="374151"/>
          <w:sz w:val="22"/>
          <w:szCs w:val="22"/>
        </w:rPr>
        <w:t xml:space="preserve">Clean, premium minimalism with generous white space. The design communicates medical authority without clinical coldness. Typography is large and confident — the hero headline is massive with selective italic emphasis on key words. Color palette is restrained: primarily black/white with a single accent color (gold/amber) used sparingly. The overall feeling is luxury wellness meets medical rigor.</w:t>
      </w:r>
    </w:p>
    <w:p>
      <w:pPr>
        <w:pStyle w:val="Heading3"/>
        <w:spacing w:after="200" w:before="360"/>
      </w:pPr>
      <w:r>
        <w:rPr>
          <w:rFonts w:ascii="Arial" w:cs="Arial" w:eastAsia="Arial" w:hAnsi="Arial"/>
          <w:b/>
          <w:bCs/>
        </w:rPr>
        <w:t xml:space="preserve">Best Elements to Steal</w:t>
      </w:r>
    </w:p>
    <w:p>
      <w:pPr>
        <w:spacing w:after="120" w:before="0" w:line="276"/>
        <w:jc w:val="left"/>
      </w:pPr>
      <w:r>
        <w:rPr>
          <w:rFonts w:ascii="Arial" w:cs="Arial" w:eastAsia="Arial" w:hAnsi="Arial"/>
          <w:b/>
          <w:bCs/>
          <w:color w:val="374151"/>
          <w:sz w:val="22"/>
          <w:szCs w:val="22"/>
        </w:rPr>
        <w:t xml:space="preserve">1. The “$1/day” Price Anchoring: </w:t>
      </w:r>
      <w:r>
        <w:rPr>
          <w:rFonts w:ascii="Arial" w:cs="Arial" w:eastAsia="Arial" w:hAnsi="Arial"/>
          <w:color w:val="374151"/>
          <w:sz w:val="22"/>
          <w:szCs w:val="22"/>
        </w:rPr>
        <w:t xml:space="preserve">Their hero immediately reframes $365/year as “just $1 per day.” This is textbook price psychology. BetterHealth should do the same with its subscription tiers — e.g., “From GHS 8/day” rather than “GHS 2,957/year.”</w:t>
      </w:r>
    </w:p>
    <w:p>
      <w:pPr>
        <w:spacing w:after="120" w:before="0" w:line="276"/>
        <w:jc w:val="left"/>
      </w:pPr>
      <w:r>
        <w:rPr>
          <w:rFonts w:ascii="Arial" w:cs="Arial" w:eastAsia="Arial" w:hAnsi="Arial"/>
          <w:b/>
          <w:bCs/>
          <w:color w:val="374151"/>
          <w:sz w:val="22"/>
          <w:szCs w:val="22"/>
        </w:rPr>
        <w:t xml:space="preserve">2. Disease Detection Marquee: </w:t>
      </w:r>
      <w:r>
        <w:rPr>
          <w:rFonts w:ascii="Arial" w:cs="Arial" w:eastAsia="Arial" w:hAnsi="Arial"/>
          <w:color w:val="374151"/>
          <w:sz w:val="22"/>
          <w:szCs w:val="22"/>
        </w:rPr>
        <w:t xml:space="preserve">An infinite horizontal scroll showing dozens of conditions their tests can detect (Diabetes, PCOS, Fatty Liver Disease, etc.). This is brilliant because it simultaneously communicates comprehensiveness and creates fear-of-missing-out. For BetterHealth, this could showcase conditions prevalent in Ghana — Sickle Cell, Malaria aftermath, Hypertension, Diabetes, Hepatitis B.</w:t>
      </w:r>
    </w:p>
    <w:p>
      <w:pPr>
        <w:spacing w:after="120" w:before="0" w:line="276"/>
        <w:jc w:val="left"/>
      </w:pPr>
      <w:r>
        <w:rPr>
          <w:rFonts w:ascii="Arial" w:cs="Arial" w:eastAsia="Arial" w:hAnsi="Arial"/>
          <w:b/>
          <w:bCs/>
          <w:color w:val="374151"/>
          <w:sz w:val="22"/>
          <w:szCs w:val="22"/>
        </w:rPr>
        <w:t xml:space="preserve">3. Numbered Steps (01, 02, 03): </w:t>
      </w:r>
      <w:r>
        <w:rPr>
          <w:rFonts w:ascii="Arial" w:cs="Arial" w:eastAsia="Arial" w:hAnsi="Arial"/>
          <w:color w:val="374151"/>
          <w:sz w:val="22"/>
          <w:szCs w:val="22"/>
        </w:rPr>
        <w:t xml:space="preserve">The “How it works” section uses oversized numbered steps with minimal text. This pattern reduces cognitive load and makes the process feel simple. Every health platform we analyzed uses this pattern — it’s table stakes.</w:t>
      </w:r>
    </w:p>
    <w:p>
      <w:pPr>
        <w:spacing w:after="120" w:before="0" w:line="276"/>
        <w:jc w:val="left"/>
      </w:pPr>
      <w:r>
        <w:rPr>
          <w:rFonts w:ascii="Arial" w:cs="Arial" w:eastAsia="Arial" w:hAnsi="Arial"/>
          <w:b/>
          <w:bCs/>
          <w:color w:val="374151"/>
          <w:sz w:val="22"/>
          <w:szCs w:val="22"/>
        </w:rPr>
        <w:t xml:space="preserve">4. Medical Advisory Board Section: </w:t>
      </w:r>
      <w:r>
        <w:rPr>
          <w:rFonts w:ascii="Arial" w:cs="Arial" w:eastAsia="Arial" w:hAnsi="Arial"/>
          <w:color w:val="374151"/>
          <w:sz w:val="22"/>
          <w:szCs w:val="22"/>
        </w:rPr>
        <w:t xml:space="preserve">Full photos, names, and institutional affiliations of doctors (Harvard, Stanford, Cleveland Clinic). This builds enormous trust. BetterHealth needs a version of this — Ghanaian doctors, lab scientists, and advisory board members with real credentials.</w:t>
      </w:r>
    </w:p>
    <w:p>
      <w:pPr>
        <w:spacing w:after="120" w:before="0" w:line="276"/>
        <w:jc w:val="left"/>
      </w:pPr>
      <w:r>
        <w:rPr>
          <w:rFonts w:ascii="Arial" w:cs="Arial" w:eastAsia="Arial" w:hAnsi="Arial"/>
          <w:b/>
          <w:bCs/>
          <w:color w:val="374151"/>
          <w:sz w:val="22"/>
          <w:szCs w:val="22"/>
        </w:rPr>
        <w:t xml:space="preserve">5. “Us vs. Them” Comparison Table: </w:t>
      </w:r>
      <w:r>
        <w:rPr>
          <w:rFonts w:ascii="Arial" w:cs="Arial" w:eastAsia="Arial" w:hAnsi="Arial"/>
          <w:color w:val="374151"/>
          <w:sz w:val="22"/>
          <w:szCs w:val="22"/>
        </w:rPr>
        <w:t xml:space="preserve">A side-by-side comparison of Function membership vs. a standard checkup, with checkmarks and X marks. Simple and devastatingly effective. BetterHealth should compare itself to the typical hospital lab experience in Ghana.</w:t>
      </w:r>
    </w:p>
    <w:p>
      <w:pPr>
        <w:spacing w:after="120" w:before="0" w:line="276"/>
        <w:jc w:val="left"/>
      </w:pPr>
      <w:r>
        <w:rPr>
          <w:rFonts w:ascii="Arial" w:cs="Arial" w:eastAsia="Arial" w:hAnsi="Arial"/>
          <w:b/>
          <w:bCs/>
          <w:color w:val="374151"/>
          <w:sz w:val="22"/>
          <w:szCs w:val="22"/>
        </w:rPr>
        <w:t xml:space="preserve">6. Patient Outcome Stories: </w:t>
      </w:r>
      <w:r>
        <w:rPr>
          <w:rFonts w:ascii="Arial" w:cs="Arial" w:eastAsia="Arial" w:hAnsi="Arial"/>
          <w:color w:val="374151"/>
          <w:sz w:val="22"/>
          <w:szCs w:val="22"/>
        </w:rPr>
        <w:t xml:space="preserve">Real stories like “The cancer signals doctors missed” and “From diabetes diagnosis to action.” Each story has a photo, a title, and a narrative. These convert because they make the abstract (“prevention”) concrete (“this person found cancer early”).</w:t>
      </w:r>
    </w:p>
    <w:p>
      <w:pPr>
        <w:spacing w:after="120" w:before="0" w:line="276"/>
        <w:jc w:val="left"/>
      </w:pPr>
      <w:r>
        <w:rPr>
          <w:rFonts w:ascii="Arial" w:cs="Arial" w:eastAsia="Arial" w:hAnsi="Arial"/>
          <w:b/>
          <w:bCs/>
          <w:color w:val="374151"/>
          <w:sz w:val="22"/>
          <w:szCs w:val="22"/>
        </w:rPr>
        <w:t xml:space="preserve">7. Bold Closing Statement: </w:t>
      </w:r>
      <w:r>
        <w:rPr>
          <w:rFonts w:ascii="Arial" w:cs="Arial" w:eastAsia="Arial" w:hAnsi="Arial"/>
          <w:color w:val="374151"/>
          <w:sz w:val="22"/>
          <w:szCs w:val="22"/>
        </w:rPr>
        <w:t xml:space="preserve">“Life is short? We disagree.” This is a mission statement as a mic drop. It’s memorable, shareable, and emotionally resonant. BetterHealth needs an equivalent — something that captures the African health autonomy narrative.</w:t>
      </w:r>
    </w:p>
    <w:p>
      <w:r>
        <w:br w:type="page"/>
      </w:r>
    </w:p>
    <w:p>
      <w:pPr>
        <w:pStyle w:val="Heading2"/>
        <w:spacing w:after="200" w:before="360"/>
      </w:pPr>
      <w:r>
        <w:rPr>
          <w:rFonts w:ascii="Arial" w:cs="Arial" w:eastAsia="Arial" w:hAnsi="Arial"/>
          <w:b/>
          <w:bCs/>
        </w:rPr>
        <w:t xml:space="preserve">2. Geviti</w:t>
      </w:r>
    </w:p>
    <w:p>
      <w:pPr>
        <w:spacing w:after="120" w:before="0" w:line="276"/>
        <w:jc w:val="left"/>
      </w:pPr>
      <w:r>
        <w:rPr>
          <w:rFonts w:ascii="Arial" w:cs="Arial" w:eastAsia="Arial" w:hAnsi="Arial"/>
          <w:i/>
          <w:iCs/>
          <w:color w:val="6B7280"/>
          <w:sz w:val="22"/>
          <w:szCs w:val="22"/>
        </w:rPr>
        <w:t xml:space="preserve">gogeviti.com</w:t>
      </w:r>
    </w:p>
    <w:p>
      <w:pPr>
        <w:pStyle w:val="Heading3"/>
        <w:spacing w:after="200" w:before="360"/>
      </w:pPr>
      <w:r>
        <w:rPr>
          <w:rFonts w:ascii="Arial" w:cs="Arial" w:eastAsia="Arial" w:hAnsi="Arial"/>
          <w:b/>
          <w:bCs/>
        </w:rPr>
        <w:t xml:space="preserve">What They Do</w:t>
      </w:r>
    </w:p>
    <w:p>
      <w:pPr>
        <w:spacing w:after="120" w:before="0" w:line="276"/>
        <w:jc w:val="left"/>
      </w:pPr>
      <w:r>
        <w:rPr>
          <w:rFonts w:ascii="Arial" w:cs="Arial" w:eastAsia="Arial" w:hAnsi="Arial"/>
          <w:color w:val="374151"/>
          <w:sz w:val="22"/>
          <w:szCs w:val="22"/>
        </w:rPr>
        <w:t xml:space="preserve">Geviti positions itself as a total body optimization platform. Beyond 100+ biomarker blood testing, they offer customized supplement packs, prescription medications, and a personal care team. Their model is subscription-based with three tiers (Lite at $66.67/mo, Plus at $129.99/mo, Plus Rx at $149.83/mo). Testing is at-home with a licensed phlebotomist.</w:t>
      </w:r>
    </w:p>
    <w:p>
      <w:pPr>
        <w:pStyle w:val="Heading3"/>
        <w:spacing w:after="200" w:before="360"/>
      </w:pPr>
      <w:r>
        <w:rPr>
          <w:rFonts w:ascii="Arial" w:cs="Arial" w:eastAsia="Arial" w:hAnsi="Arial"/>
          <w:b/>
          <w:bCs/>
        </w:rPr>
        <w:t xml:space="preserve">Design Language</w:t>
      </w:r>
    </w:p>
    <w:p>
      <w:pPr>
        <w:spacing w:after="120" w:before="0" w:line="276"/>
        <w:jc w:val="left"/>
      </w:pPr>
      <w:r>
        <w:rPr>
          <w:rFonts w:ascii="Arial" w:cs="Arial" w:eastAsia="Arial" w:hAnsi="Arial"/>
          <w:color w:val="374151"/>
          <w:sz w:val="22"/>
          <w:szCs w:val="22"/>
        </w:rPr>
        <w:t xml:space="preserve">Dark backgrounds with vibrant product photography. The design leans into the DTC (direct-to-consumer) wellness aesthetic — think Hims/Hers meets longevity science. Heavy use of product cards with lifestyle photography. Animations are smooth and the page flows between dark and light sections to create visual rhythm. The overall vibe is aspirational and youthful.</w:t>
      </w:r>
    </w:p>
    <w:p>
      <w:pPr>
        <w:pStyle w:val="Heading3"/>
        <w:spacing w:after="200" w:before="360"/>
      </w:pPr>
      <w:r>
        <w:rPr>
          <w:rFonts w:ascii="Arial" w:cs="Arial" w:eastAsia="Arial" w:hAnsi="Arial"/>
          <w:b/>
          <w:bCs/>
        </w:rPr>
        <w:t xml:space="preserve">Best Elements to Steal</w:t>
      </w:r>
    </w:p>
    <w:p>
      <w:pPr>
        <w:spacing w:after="120" w:before="0" w:line="276"/>
        <w:jc w:val="left"/>
      </w:pPr>
      <w:r>
        <w:rPr>
          <w:rFonts w:ascii="Arial" w:cs="Arial" w:eastAsia="Arial" w:hAnsi="Arial"/>
          <w:b/>
          <w:bCs/>
          <w:color w:val="374151"/>
          <w:sz w:val="22"/>
          <w:szCs w:val="22"/>
        </w:rPr>
        <w:t xml:space="preserve">1. Product Card Grid: </w:t>
      </w:r>
      <w:r>
        <w:rPr>
          <w:rFonts w:ascii="Arial" w:cs="Arial" w:eastAsia="Arial" w:hAnsi="Arial"/>
          <w:color w:val="374151"/>
          <w:sz w:val="22"/>
          <w:szCs w:val="22"/>
        </w:rPr>
        <w:t xml:space="preserve">Four beautiful cards showing their core offerings (At-home Lab Tests, Customized Supplements, Prescription Medications, Personal Care Team). Each card has lifestyle photography and a “Learn More” link. BetterHealth should adapt this to showcase: Lab Tests, Health Dashboard, Home Collection, Doctor Insights.</w:t>
      </w:r>
    </w:p>
    <w:p>
      <w:pPr>
        <w:spacing w:after="120" w:before="0" w:line="276"/>
        <w:jc w:val="left"/>
      </w:pPr>
      <w:r>
        <w:rPr>
          <w:rFonts w:ascii="Arial" w:cs="Arial" w:eastAsia="Arial" w:hAnsi="Arial"/>
          <w:b/>
          <w:bCs/>
          <w:color w:val="374151"/>
          <w:sz w:val="22"/>
          <w:szCs w:val="22"/>
        </w:rPr>
        <w:t xml:space="preserve">2. Biomarker Category Marquee: </w:t>
      </w:r>
      <w:r>
        <w:rPr>
          <w:rFonts w:ascii="Arial" w:cs="Arial" w:eastAsia="Arial" w:hAnsi="Arial"/>
          <w:color w:val="374151"/>
          <w:sz w:val="22"/>
          <w:szCs w:val="22"/>
        </w:rPr>
        <w:t xml:space="preserve">An infinite scroll showing biomarker categories with small icons (Metabolic Health, Cardiovascular Health, Hormone Levels, etc.). This communicates breadth visually without overwhelming with specifics.</w:t>
      </w:r>
    </w:p>
    <w:p>
      <w:pPr>
        <w:spacing w:after="120" w:before="0" w:line="276"/>
        <w:jc w:val="left"/>
      </w:pPr>
      <w:r>
        <w:rPr>
          <w:rFonts w:ascii="Arial" w:cs="Arial" w:eastAsia="Arial" w:hAnsi="Arial"/>
          <w:b/>
          <w:bCs/>
          <w:color w:val="374151"/>
          <w:sz w:val="22"/>
          <w:szCs w:val="22"/>
        </w:rPr>
        <w:t xml:space="preserve">3. Founder Story Section: </w:t>
      </w:r>
      <w:r>
        <w:rPr>
          <w:rFonts w:ascii="Arial" w:cs="Arial" w:eastAsia="Arial" w:hAnsi="Arial"/>
          <w:color w:val="374151"/>
          <w:sz w:val="22"/>
          <w:szCs w:val="22"/>
        </w:rPr>
        <w:t xml:space="preserve">A full-width section with the founder’s photo and personal story (“After our Founder lost his father to what he believes to be a largely preventable disease...”). This humanizes the brand. Damzi, BetterHealth needs your story here — why you started this, what drives you, why Africa specifically.</w:t>
      </w:r>
    </w:p>
    <w:p>
      <w:pPr>
        <w:spacing w:after="120" w:before="0" w:line="276"/>
        <w:jc w:val="left"/>
      </w:pPr>
      <w:r>
        <w:rPr>
          <w:rFonts w:ascii="Arial" w:cs="Arial" w:eastAsia="Arial" w:hAnsi="Arial"/>
          <w:b/>
          <w:bCs/>
          <w:color w:val="374151"/>
          <w:sz w:val="22"/>
          <w:szCs w:val="22"/>
        </w:rPr>
        <w:t xml:space="preserve">4. App Dashboard Showcase: </w:t>
      </w:r>
      <w:r>
        <w:rPr>
          <w:rFonts w:ascii="Arial" w:cs="Arial" w:eastAsia="Arial" w:hAnsi="Arial"/>
          <w:color w:val="374151"/>
          <w:sz w:val="22"/>
          <w:szCs w:val="22"/>
        </w:rPr>
        <w:t xml:space="preserve">A large, interactive section showing the Geviti app interface with animated transitions between screens. This is critical for BetterHealth — showing the actual product (health dashboard, biomarker tracking, organ system view) will convert skeptics who wonder “what do I actually get?”</w:t>
      </w:r>
    </w:p>
    <w:p>
      <w:pPr>
        <w:spacing w:after="120" w:before="0" w:line="276"/>
        <w:jc w:val="left"/>
      </w:pPr>
      <w:r>
        <w:rPr>
          <w:rFonts w:ascii="Arial" w:cs="Arial" w:eastAsia="Arial" w:hAnsi="Arial"/>
          <w:b/>
          <w:bCs/>
          <w:color w:val="374151"/>
          <w:sz w:val="22"/>
          <w:szCs w:val="22"/>
        </w:rPr>
        <w:t xml:space="preserve">5. Video Testimonial Integration: </w:t>
      </w:r>
      <w:r>
        <w:rPr>
          <w:rFonts w:ascii="Arial" w:cs="Arial" w:eastAsia="Arial" w:hAnsi="Arial"/>
          <w:color w:val="374151"/>
          <w:sz w:val="22"/>
          <w:szCs w:val="22"/>
        </w:rPr>
        <w:t xml:space="preserve">Testimonials alternate between video embeds from social media influencers and text reviews from verified members. The mix of formats adds authenticity. BetterHealth could feature video testimonials from early beta users and Ghanaian health influencers.</w:t>
      </w:r>
    </w:p>
    <w:p>
      <w:pPr>
        <w:spacing w:after="120" w:before="0" w:line="276"/>
        <w:jc w:val="left"/>
      </w:pPr>
      <w:r>
        <w:rPr>
          <w:rFonts w:ascii="Arial" w:cs="Arial" w:eastAsia="Arial" w:hAnsi="Arial"/>
          <w:b/>
          <w:bCs/>
          <w:color w:val="374151"/>
          <w:sz w:val="22"/>
          <w:szCs w:val="22"/>
        </w:rPr>
        <w:t xml:space="preserve">6. Tiered Pricing with Clear Differentiation: </w:t>
      </w:r>
      <w:r>
        <w:rPr>
          <w:rFonts w:ascii="Arial" w:cs="Arial" w:eastAsia="Arial" w:hAnsi="Arial"/>
          <w:color w:val="374151"/>
          <w:sz w:val="22"/>
          <w:szCs w:val="22"/>
        </w:rPr>
        <w:t xml:space="preserve">Three pricing cards with distinct names, clear “Everything in [lower tier], and...” language, and a “Most Popular” badge on the middle tier. This is the gold standard for SaaS pricing display.</w:t>
      </w:r>
    </w:p>
    <w:p>
      <w:pPr>
        <w:spacing w:after="120" w:before="0" w:line="276"/>
        <w:jc w:val="left"/>
      </w:pPr>
      <w:r>
        <w:rPr>
          <w:rFonts w:ascii="Arial" w:cs="Arial" w:eastAsia="Arial" w:hAnsi="Arial"/>
          <w:b/>
          <w:bCs/>
          <w:color w:val="374151"/>
          <w:sz w:val="22"/>
          <w:szCs w:val="22"/>
        </w:rPr>
        <w:t xml:space="preserve">7. HSA/FSA Eligibility Badge: </w:t>
      </w:r>
      <w:r>
        <w:rPr>
          <w:rFonts w:ascii="Arial" w:cs="Arial" w:eastAsia="Arial" w:hAnsi="Arial"/>
          <w:color w:val="374151"/>
          <w:sz w:val="22"/>
          <w:szCs w:val="22"/>
        </w:rPr>
        <w:t xml:space="preserve">Prominently displayed. For BetterHealth, the equivalent trust signal would be: “Mobile Money Accepted” and “Partner Labs Certified by Ghana Health Service.”</w:t>
      </w:r>
    </w:p>
    <w:p>
      <w:r>
        <w:br w:type="page"/>
      </w:r>
    </w:p>
    <w:p>
      <w:pPr>
        <w:pStyle w:val="Heading2"/>
        <w:spacing w:after="200" w:before="360"/>
      </w:pPr>
      <w:r>
        <w:rPr>
          <w:rFonts w:ascii="Arial" w:cs="Arial" w:eastAsia="Arial" w:hAnsi="Arial"/>
          <w:b/>
          <w:bCs/>
        </w:rPr>
        <w:t xml:space="preserve">3. Empirical Health</w:t>
      </w:r>
    </w:p>
    <w:p>
      <w:pPr>
        <w:spacing w:after="120" w:before="0" w:line="276"/>
        <w:jc w:val="left"/>
      </w:pPr>
      <w:r>
        <w:rPr>
          <w:rFonts w:ascii="Arial" w:cs="Arial" w:eastAsia="Arial" w:hAnsi="Arial"/>
          <w:i/>
          <w:iCs/>
          <w:color w:val="6B7280"/>
          <w:sz w:val="22"/>
          <w:szCs w:val="22"/>
        </w:rPr>
        <w:t xml:space="preserve">empirical.health</w:t>
      </w:r>
    </w:p>
    <w:p>
      <w:pPr>
        <w:pStyle w:val="Heading3"/>
        <w:spacing w:after="200" w:before="360"/>
      </w:pPr>
      <w:r>
        <w:rPr>
          <w:rFonts w:ascii="Arial" w:cs="Arial" w:eastAsia="Arial" w:hAnsi="Arial"/>
          <w:b/>
          <w:bCs/>
        </w:rPr>
        <w:t xml:space="preserve">What They Do</w:t>
      </w:r>
    </w:p>
    <w:p>
      <w:pPr>
        <w:spacing w:after="120" w:before="0" w:line="276"/>
        <w:jc w:val="left"/>
      </w:pPr>
      <w:r>
        <w:rPr>
          <w:rFonts w:ascii="Arial" w:cs="Arial" w:eastAsia="Arial" w:hAnsi="Arial"/>
          <w:color w:val="374151"/>
          <w:sz w:val="22"/>
          <w:szCs w:val="22"/>
        </w:rPr>
        <w:t xml:space="preserve">Empirical Health takes a focused approach: they specialize in heart health. Their $190 one-time payment gets you 100+ biomarkers, a video visit with a board-certified doctor, in-app heart health risk scores, and premium metric tracking. Their app predicts lifetime heart attack risk and lets you toggle lifestyle choices to see how they change your risk.</w:t>
      </w:r>
    </w:p>
    <w:p>
      <w:pPr>
        <w:pStyle w:val="Heading3"/>
        <w:spacing w:after="200" w:before="360"/>
      </w:pPr>
      <w:r>
        <w:rPr>
          <w:rFonts w:ascii="Arial" w:cs="Arial" w:eastAsia="Arial" w:hAnsi="Arial"/>
          <w:b/>
          <w:bCs/>
        </w:rPr>
        <w:t xml:space="preserve">Design Language</w:t>
      </w:r>
    </w:p>
    <w:p>
      <w:pPr>
        <w:spacing w:after="120" w:before="0" w:line="276"/>
        <w:jc w:val="left"/>
      </w:pPr>
      <w:r>
        <w:rPr>
          <w:rFonts w:ascii="Arial" w:cs="Arial" w:eastAsia="Arial" w:hAnsi="Arial"/>
          <w:color w:val="374151"/>
          <w:sz w:val="22"/>
          <w:szCs w:val="22"/>
        </w:rPr>
        <w:t xml:space="preserve">The cleanest, most focused design of all four competitors. Muted tones (soft grays, gentle blues) with a single hero image of a heart visualization. The page uses a three-act narrative structure — Measure, Predict, Prevent — each as its own visual section. Product mockups show the actual app interface. The aesthetic communicates clinical confidence without feeling cold.</w:t>
      </w:r>
    </w:p>
    <w:p>
      <w:pPr>
        <w:pStyle w:val="Heading3"/>
        <w:spacing w:after="200" w:before="360"/>
      </w:pPr>
      <w:r>
        <w:rPr>
          <w:rFonts w:ascii="Arial" w:cs="Arial" w:eastAsia="Arial" w:hAnsi="Arial"/>
          <w:b/>
          <w:bCs/>
        </w:rPr>
        <w:t xml:space="preserve">Best Elements to Steal</w:t>
      </w:r>
    </w:p>
    <w:p>
      <w:pPr>
        <w:spacing w:after="120" w:before="0" w:line="276"/>
        <w:jc w:val="left"/>
      </w:pPr>
      <w:r>
        <w:rPr>
          <w:rFonts w:ascii="Arial" w:cs="Arial" w:eastAsia="Arial" w:hAnsi="Arial"/>
          <w:b/>
          <w:bCs/>
          <w:color w:val="374151"/>
          <w:sz w:val="22"/>
          <w:szCs w:val="22"/>
        </w:rPr>
        <w:t xml:space="preserve">1. Three-Act Narrative Structure: </w:t>
      </w:r>
      <w:r>
        <w:rPr>
          <w:rFonts w:ascii="Arial" w:cs="Arial" w:eastAsia="Arial" w:hAnsi="Arial"/>
          <w:color w:val="374151"/>
          <w:sz w:val="22"/>
          <w:szCs w:val="22"/>
        </w:rPr>
        <w:t xml:space="preserve">Measure → Predict → Prevent. This is the most effective storytelling framework of all four sites. It walks the visitor through the product journey without overwhelming them. BetterHealth should adapt this: Test → Understand → Act (or Discover → Track → Improve).</w:t>
      </w:r>
    </w:p>
    <w:p>
      <w:pPr>
        <w:spacing w:after="120" w:before="0" w:line="276"/>
        <w:jc w:val="left"/>
      </w:pPr>
      <w:r>
        <w:rPr>
          <w:rFonts w:ascii="Arial" w:cs="Arial" w:eastAsia="Arial" w:hAnsi="Arial"/>
          <w:b/>
          <w:bCs/>
          <w:color w:val="374151"/>
          <w:sz w:val="22"/>
          <w:szCs w:val="22"/>
        </w:rPr>
        <w:t xml:space="preserve">2. Interactive Biomarker Showcase by Body System: </w:t>
      </w:r>
      <w:r>
        <w:rPr>
          <w:rFonts w:ascii="Arial" w:cs="Arial" w:eastAsia="Arial" w:hAnsi="Arial"/>
          <w:color w:val="374151"/>
          <w:sz w:val="22"/>
          <w:szCs w:val="22"/>
        </w:rPr>
        <w:t xml:space="preserve">Biomarkers are organized into expandable categories (Heart, Liver, Metabolic, Kidneys, Nutrients, Blood, Urine). Visitors can explore what’s tested without leaving the page. This is more sophisticated than Function’s static list and more informative than Geviti’s marquee.</w:t>
      </w:r>
    </w:p>
    <w:p>
      <w:pPr>
        <w:spacing w:after="120" w:before="0" w:line="276"/>
        <w:jc w:val="left"/>
      </w:pPr>
      <w:r>
        <w:rPr>
          <w:rFonts w:ascii="Arial" w:cs="Arial" w:eastAsia="Arial" w:hAnsi="Arial"/>
          <w:b/>
          <w:bCs/>
          <w:color w:val="374151"/>
          <w:sz w:val="22"/>
          <w:szCs w:val="22"/>
        </w:rPr>
        <w:t xml:space="preserve">3. iPhone Mockup with App Video: </w:t>
      </w:r>
      <w:r>
        <w:rPr>
          <w:rFonts w:ascii="Arial" w:cs="Arial" w:eastAsia="Arial" w:hAnsi="Arial"/>
          <w:color w:val="374151"/>
          <w:sz w:val="22"/>
          <w:szCs w:val="22"/>
        </w:rPr>
        <w:t xml:space="preserve">A floating phone frame with a looping video showing the actual app in action — risk scores changing, biomarker trends updating. This is the single most persuasive product demonstration technique across all four sites. BetterHealth must do this.</w:t>
      </w:r>
    </w:p>
    <w:p>
      <w:pPr>
        <w:spacing w:after="120" w:before="0" w:line="276"/>
        <w:jc w:val="left"/>
      </w:pPr>
      <w:r>
        <w:rPr>
          <w:rFonts w:ascii="Arial" w:cs="Arial" w:eastAsia="Arial" w:hAnsi="Arial"/>
          <w:b/>
          <w:bCs/>
          <w:color w:val="374151"/>
          <w:sz w:val="22"/>
          <w:szCs w:val="22"/>
        </w:rPr>
        <w:t xml:space="preserve">4. Value Anchor Comparison: </w:t>
      </w:r>
      <w:r>
        <w:rPr>
          <w:rFonts w:ascii="Arial" w:cs="Arial" w:eastAsia="Arial" w:hAnsi="Arial"/>
          <w:color w:val="374151"/>
          <w:sz w:val="22"/>
          <w:szCs w:val="22"/>
        </w:rPr>
        <w:t xml:space="preserve">“$1,450 of medical care for just $190.” Simple, devastating. BetterHealth should calculate what the equivalent lab tests would cost at a private hospital in Accra and display the comparison.</w:t>
      </w:r>
    </w:p>
    <w:p>
      <w:pPr>
        <w:spacing w:after="120" w:before="0" w:line="276"/>
        <w:jc w:val="left"/>
      </w:pPr>
      <w:r>
        <w:rPr>
          <w:rFonts w:ascii="Arial" w:cs="Arial" w:eastAsia="Arial" w:hAnsi="Arial"/>
          <w:b/>
          <w:bCs/>
          <w:color w:val="374151"/>
          <w:sz w:val="22"/>
          <w:szCs w:val="22"/>
        </w:rPr>
        <w:t xml:space="preserve">5. Doctor Chat Interface Mockup: </w:t>
      </w:r>
      <w:r>
        <w:rPr>
          <w:rFonts w:ascii="Arial" w:cs="Arial" w:eastAsia="Arial" w:hAnsi="Arial"/>
          <w:color w:val="374151"/>
          <w:sz w:val="22"/>
          <w:szCs w:val="22"/>
        </w:rPr>
        <w:t xml:space="preserve">A screenshot-style mockup of the in-app doctor messaging feature. This makes the telehealth component tangible. If BetterHealth plans doctor consultation features, show the interface.</w:t>
      </w:r>
    </w:p>
    <w:p>
      <w:pPr>
        <w:spacing w:after="120" w:before="0" w:line="276"/>
        <w:jc w:val="left"/>
      </w:pPr>
      <w:r>
        <w:rPr>
          <w:rFonts w:ascii="Arial" w:cs="Arial" w:eastAsia="Arial" w:hAnsi="Arial"/>
          <w:b/>
          <w:bCs/>
          <w:color w:val="374151"/>
          <w:sz w:val="22"/>
          <w:szCs w:val="22"/>
        </w:rPr>
        <w:t xml:space="preserve">6. Focused Narrative Copywriting: </w:t>
      </w:r>
      <w:r>
        <w:rPr>
          <w:rFonts w:ascii="Arial" w:cs="Arial" w:eastAsia="Arial" w:hAnsi="Arial"/>
          <w:color w:val="374151"/>
          <w:sz w:val="22"/>
          <w:szCs w:val="22"/>
        </w:rPr>
        <w:t xml:space="preserve">The headline is hyper-specific: “Don’t die of a heart attack.” No ambiguity. Every sentence on the page supports this single promise. BetterHealth’s homepage should have equally clear focus — not “track your health” but something specific and emotionally resonant for Ghanaians.</w:t>
      </w:r>
    </w:p>
    <w:p>
      <w:r>
        <w:br w:type="page"/>
      </w:r>
    </w:p>
    <w:p>
      <w:pPr>
        <w:pStyle w:val="Heading2"/>
        <w:spacing w:after="200" w:before="360"/>
      </w:pPr>
      <w:r>
        <w:rPr>
          <w:rFonts w:ascii="Arial" w:cs="Arial" w:eastAsia="Arial" w:hAnsi="Arial"/>
          <w:b/>
          <w:bCs/>
        </w:rPr>
        <w:t xml:space="preserve">4. Nucleus Genomics</w:t>
      </w:r>
    </w:p>
    <w:p>
      <w:pPr>
        <w:spacing w:after="120" w:before="0" w:line="276"/>
        <w:jc w:val="left"/>
      </w:pPr>
      <w:r>
        <w:rPr>
          <w:rFonts w:ascii="Arial" w:cs="Arial" w:eastAsia="Arial" w:hAnsi="Arial"/>
          <w:i/>
          <w:iCs/>
          <w:color w:val="6B7280"/>
          <w:sz w:val="22"/>
          <w:szCs w:val="22"/>
        </w:rPr>
        <w:t xml:space="preserve">mynucleus.com</w:t>
      </w:r>
    </w:p>
    <w:p>
      <w:pPr>
        <w:pStyle w:val="Heading3"/>
        <w:spacing w:after="200" w:before="360"/>
      </w:pPr>
      <w:r>
        <w:rPr>
          <w:rFonts w:ascii="Arial" w:cs="Arial" w:eastAsia="Arial" w:hAnsi="Arial"/>
          <w:b/>
          <w:bCs/>
        </w:rPr>
        <w:t xml:space="preserve">What They Do</w:t>
      </w:r>
    </w:p>
    <w:p>
      <w:pPr>
        <w:spacing w:after="120" w:before="0" w:line="276"/>
        <w:jc w:val="left"/>
      </w:pPr>
      <w:r>
        <w:rPr>
          <w:rFonts w:ascii="Arial" w:cs="Arial" w:eastAsia="Arial" w:hAnsi="Arial"/>
          <w:color w:val="374151"/>
          <w:sz w:val="22"/>
          <w:szCs w:val="22"/>
        </w:rPr>
        <w:t xml:space="preserve">Nucleus is a genomics company focused on reproductive health and longevity. Their products include IVF+ (advanced embryo screening), Preview (pre-pregnancy genetic matching), and Health (whole-genome testing). They’re positioned at the cutting edge of genetic science with partnerships at top fertility clinics.</w:t>
      </w:r>
    </w:p>
    <w:p>
      <w:pPr>
        <w:pStyle w:val="Heading3"/>
        <w:spacing w:after="200" w:before="360"/>
      </w:pPr>
      <w:r>
        <w:rPr>
          <w:rFonts w:ascii="Arial" w:cs="Arial" w:eastAsia="Arial" w:hAnsi="Arial"/>
          <w:b/>
          <w:bCs/>
        </w:rPr>
        <w:t xml:space="preserve">Design Language</w:t>
      </w:r>
    </w:p>
    <w:p>
      <w:pPr>
        <w:spacing w:after="120" w:before="0" w:line="276"/>
        <w:jc w:val="left"/>
      </w:pPr>
      <w:r>
        <w:rPr>
          <w:rFonts w:ascii="Arial" w:cs="Arial" w:eastAsia="Arial" w:hAnsi="Arial"/>
          <w:color w:val="374151"/>
          <w:sz w:val="22"/>
          <w:szCs w:val="22"/>
        </w:rPr>
        <w:t xml:space="preserve">Cinematic and premium. Dark backgrounds with dramatic photography. The homepage uses a product carousel — each product (IVF+, Preview, Embryo, Health) gets a full-screen card with its own imagery and tagline. Heavy use of video content and press logos. The design communicates scientific authority and future-forward thinking. Built on Framer with smooth scroll animations.</w:t>
      </w:r>
    </w:p>
    <w:p>
      <w:pPr>
        <w:pStyle w:val="Heading3"/>
        <w:spacing w:after="200" w:before="360"/>
      </w:pPr>
      <w:r>
        <w:rPr>
          <w:rFonts w:ascii="Arial" w:cs="Arial" w:eastAsia="Arial" w:hAnsi="Arial"/>
          <w:b/>
          <w:bCs/>
        </w:rPr>
        <w:t xml:space="preserve">Best Elements to Steal</w:t>
      </w:r>
    </w:p>
    <w:p>
      <w:pPr>
        <w:spacing w:after="120" w:before="0" w:line="276"/>
        <w:jc w:val="left"/>
      </w:pPr>
      <w:r>
        <w:rPr>
          <w:rFonts w:ascii="Arial" w:cs="Arial" w:eastAsia="Arial" w:hAnsi="Arial"/>
          <w:b/>
          <w:bCs/>
          <w:color w:val="374151"/>
          <w:sz w:val="22"/>
          <w:szCs w:val="22"/>
        </w:rPr>
        <w:t xml:space="preserve">1. Press Logo Marquee: </w:t>
      </w:r>
      <w:r>
        <w:rPr>
          <w:rFonts w:ascii="Arial" w:cs="Arial" w:eastAsia="Arial" w:hAnsi="Arial"/>
          <w:color w:val="374151"/>
          <w:sz w:val="22"/>
          <w:szCs w:val="22"/>
        </w:rPr>
        <w:t xml:space="preserve">A scrolling bar of major publication logos (WSJ, Bloomberg, Axios, CNBC, TechCrunch, Fortune, Washington Post). This builds instant credibility. BetterHealth should feature logos of any media coverage, partner institutions (Lab Access Ghana, Supabase-level tech partners), and medical certifications.</w:t>
      </w:r>
    </w:p>
    <w:p>
      <w:pPr>
        <w:spacing w:after="120" w:before="0" w:line="276"/>
        <w:jc w:val="left"/>
      </w:pPr>
      <w:r>
        <w:rPr>
          <w:rFonts w:ascii="Arial" w:cs="Arial" w:eastAsia="Arial" w:hAnsi="Arial"/>
          <w:b/>
          <w:bCs/>
          <w:color w:val="374151"/>
          <w:sz w:val="22"/>
          <w:szCs w:val="22"/>
        </w:rPr>
        <w:t xml:space="preserve">2. Video Content Sections: </w:t>
      </w:r>
      <w:r>
        <w:rPr>
          <w:rFonts w:ascii="Arial" w:cs="Arial" w:eastAsia="Arial" w:hAnsi="Arial"/>
          <w:color w:val="374151"/>
          <w:sz w:val="22"/>
          <w:szCs w:val="22"/>
        </w:rPr>
        <w:t xml:space="preserve">Multiple video sections — founder interviews, doctor explanations, patient stories. Video builds trust faster than text. BetterHealth should invest in short (60-90 second) videos: a lab tour, a home collection experience, a patient receiving results, a doctor explaining a biomarker.</w:t>
      </w:r>
    </w:p>
    <w:p>
      <w:pPr>
        <w:spacing w:after="120" w:before="0" w:line="276"/>
        <w:jc w:val="left"/>
      </w:pPr>
      <w:r>
        <w:rPr>
          <w:rFonts w:ascii="Arial" w:cs="Arial" w:eastAsia="Arial" w:hAnsi="Arial"/>
          <w:b/>
          <w:bCs/>
          <w:color w:val="374151"/>
          <w:sz w:val="22"/>
          <w:szCs w:val="22"/>
        </w:rPr>
        <w:t xml:space="preserve">3. Interactive Product Tabs: </w:t>
      </w:r>
      <w:r>
        <w:rPr>
          <w:rFonts w:ascii="Arial" w:cs="Arial" w:eastAsia="Arial" w:hAnsi="Arial"/>
          <w:color w:val="374151"/>
          <w:sz w:val="22"/>
          <w:szCs w:val="22"/>
        </w:rPr>
        <w:t xml:space="preserve">The “Protect you and your loved ones” section uses tabs (Embryo / Preview / Health) that switch the displayed product interface. BetterHealth could use this for different views: Patient Dashboard / Lab Results / Health History / Biomarker Trends.</w:t>
      </w:r>
    </w:p>
    <w:p>
      <w:pPr>
        <w:spacing w:after="120" w:before="0" w:line="276"/>
        <w:jc w:val="left"/>
      </w:pPr>
      <w:r>
        <w:rPr>
          <w:rFonts w:ascii="Arial" w:cs="Arial" w:eastAsia="Arial" w:hAnsi="Arial"/>
          <w:b/>
          <w:bCs/>
          <w:color w:val="374151"/>
          <w:sz w:val="22"/>
          <w:szCs w:val="22"/>
        </w:rPr>
        <w:t xml:space="preserve">4. Social Media Testimonial Integration: </w:t>
      </w:r>
      <w:r>
        <w:rPr>
          <w:rFonts w:ascii="Arial" w:cs="Arial" w:eastAsia="Arial" w:hAnsi="Arial"/>
          <w:color w:val="374151"/>
          <w:sz w:val="22"/>
          <w:szCs w:val="22"/>
        </w:rPr>
        <w:t xml:space="preserve">Embedded Instagram Reels and TikTok videos from real users. This is more authentic than polished testimonial text. If BetterHealth has any beta user social content, embed it.</w:t>
      </w:r>
    </w:p>
    <w:p>
      <w:pPr>
        <w:spacing w:after="120" w:before="0" w:line="276"/>
        <w:jc w:val="left"/>
      </w:pPr>
      <w:r>
        <w:rPr>
          <w:rFonts w:ascii="Arial" w:cs="Arial" w:eastAsia="Arial" w:hAnsi="Arial"/>
          <w:b/>
          <w:bCs/>
          <w:color w:val="374151"/>
          <w:sz w:val="22"/>
          <w:szCs w:val="22"/>
        </w:rPr>
        <w:t xml:space="preserve">5. Mission-Driven Closing: </w:t>
      </w:r>
      <w:r>
        <w:rPr>
          <w:rFonts w:ascii="Arial" w:cs="Arial" w:eastAsia="Arial" w:hAnsi="Arial"/>
          <w:color w:val="374151"/>
          <w:sz w:val="22"/>
          <w:szCs w:val="22"/>
        </w:rPr>
        <w:t xml:space="preserve">“Don’t let your family history define your family’s future.” Emotionally powerful and directly tied to their product promise. BetterHealth’s equivalent: something about Africans taking control of their health destiny, knowing their bodies before illness strikes.</w:t>
      </w:r>
    </w:p>
    <w:p>
      <w:pPr>
        <w:spacing w:after="120" w:before="0" w:line="276"/>
        <w:jc w:val="left"/>
      </w:pPr>
      <w:r>
        <w:rPr>
          <w:rFonts w:ascii="Arial" w:cs="Arial" w:eastAsia="Arial" w:hAnsi="Arial"/>
          <w:b/>
          <w:bCs/>
          <w:color w:val="374151"/>
          <w:sz w:val="22"/>
          <w:szCs w:val="22"/>
        </w:rPr>
        <w:t xml:space="preserve">6. Scroll-Triggered Animations: </w:t>
      </w:r>
      <w:r>
        <w:rPr>
          <w:rFonts w:ascii="Arial" w:cs="Arial" w:eastAsia="Arial" w:hAnsi="Arial"/>
          <w:color w:val="374151"/>
          <w:sz w:val="22"/>
          <w:szCs w:val="22"/>
        </w:rPr>
        <w:t xml:space="preserve">Elements fade in, slide up, and scale as you scroll. The page feels alive without being distracting. This level of motion design is now table stakes for premium health brands.</w:t>
      </w:r>
    </w:p>
    <w:p>
      <w:r>
        <w:br w:type="page"/>
      </w:r>
    </w:p>
    <w:p>
      <w:pPr>
        <w:pStyle w:val="Heading1"/>
        <w:spacing w:after="200" w:before="360"/>
      </w:pPr>
      <w:r>
        <w:rPr>
          <w:rFonts w:ascii="Arial" w:cs="Arial" w:eastAsia="Arial" w:hAnsi="Arial"/>
          <w:b/>
          <w:bCs/>
        </w:rPr>
        <w:t xml:space="preserve">Part 2: Cross-Competitor Comparison Matrix</w:t>
      </w:r>
    </w:p>
    <w:p>
      <w:pPr>
        <w:spacing w:after="120" w:before="0" w:line="276"/>
        <w:jc w:val="left"/>
      </w:pPr>
      <w:r>
        <w:rPr>
          <w:rFonts w:ascii="Arial" w:cs="Arial" w:eastAsia="Arial" w:hAnsi="Arial"/>
          <w:color w:val="374151"/>
          <w:sz w:val="22"/>
          <w:szCs w:val="22"/>
        </w:rPr>
        <w:t xml:space="preserve">The following table maps which design and UX patterns each competitor uses. Green-shaded cells indicate the competitor that executes this pattern best — the one BetterHealth should study most closely for that specific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Pattern</w:t>
            </w:r>
          </w:p>
        </w:tc>
        <w:tc>
          <w:tcPr>
            <w:tcW w:type="dxa" w:w="179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Function</w:t>
            </w:r>
          </w:p>
        </w:tc>
        <w:tc>
          <w:tcPr>
            <w:tcW w:type="dxa" w:w="179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Geviti</w:t>
            </w:r>
          </w:p>
        </w:tc>
        <w:tc>
          <w:tcPr>
            <w:tcW w:type="dxa" w:w="179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Empirical</w:t>
            </w:r>
          </w:p>
        </w:tc>
        <w:tc>
          <w:tcPr>
            <w:tcW w:type="dxa" w:w="179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Nucleus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Bold hero headline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Price anchoring ($X/day)</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Disease/condition marquee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Numbered steps flow</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App/dashboard showcase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Product demo video/animation</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Narrative structure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Us vs. them comparison</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Medical team / advisory board</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Press / media logos</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Video testimonials</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Patient outcome stories</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Founder story</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Tiered pricing display</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Scroll animations</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Biomarker explorer (interactive)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6B7280"/>
                <w:sz w:val="20"/>
                <w:szCs w:val="20"/>
              </w:rPr>
              <w:t xml:space="preserv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Mission-driven closing CTA</w:t>
            </w:r>
          </w:p>
        </w:tc>
        <w:tc>
          <w:tcPr>
            <w:tcW w:type="dxa" w:w="179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0D9488"/>
                <w:sz w:val="20"/>
                <w:szCs w:val="20"/>
              </w:rPr>
              <w:t xml:space="preserve">✓ Best</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c>
          <w:tcPr>
            <w:tcW w:type="dxa" w:w="179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t>
            </w:r>
          </w:p>
        </w:tc>
      </w:tr>
    </w:tbl>
    <w:p>
      <w:r>
        <w:br w:type="page"/>
      </w:r>
    </w:p>
    <w:p>
      <w:pPr>
        <w:pStyle w:val="Heading1"/>
        <w:spacing w:after="200" w:before="360"/>
      </w:pPr>
      <w:r>
        <w:rPr>
          <w:rFonts w:ascii="Arial" w:cs="Arial" w:eastAsia="Arial" w:hAnsi="Arial"/>
          <w:b/>
          <w:bCs/>
        </w:rPr>
        <w:t xml:space="preserve">Part 3: BetterHealth Website Architecture</w:t>
      </w:r>
    </w:p>
    <w:p>
      <w:pPr>
        <w:spacing w:after="120" w:before="0" w:line="276"/>
        <w:jc w:val="left"/>
      </w:pPr>
      <w:r>
        <w:rPr>
          <w:rFonts w:ascii="Arial" w:cs="Arial" w:eastAsia="Arial" w:hAnsi="Arial"/>
          <w:color w:val="374151"/>
          <w:sz w:val="22"/>
          <w:szCs w:val="22"/>
        </w:rPr>
        <w:t xml:space="preserve">Based on the competitor analysis and BetterHealth’s current product capabilities, here is the recommended website structure and page hierarchy.</w:t>
      </w:r>
    </w:p>
    <w:p>
      <w:pPr>
        <w:pStyle w:val="Heading2"/>
        <w:spacing w:after="200" w:before="360"/>
      </w:pPr>
      <w:r>
        <w:rPr>
          <w:rFonts w:ascii="Arial" w:cs="Arial" w:eastAsia="Arial" w:hAnsi="Arial"/>
          <w:b/>
          <w:bCs/>
        </w:rPr>
        <w:t xml:space="preserve">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Page</w:t>
            </w:r>
          </w:p>
        </w:tc>
        <w:tc>
          <w:tcPr>
            <w:tcW w:type="dxa" w:w="656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Purpose &amp; Content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Homepage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Hero + narrative flow. The single most important page. Must convert a first-time visitor into either a waitlist signup or a paying member within 60 seconds of scrolling.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How It Works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Detailed 4-step walkthrough: Sign Up → Book Collection → Get Results → Take Action. Include photos/video of actual lab collection process.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What We Test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Interactive biomarker explorer organized by body system. Show the full test menu with explanations of what each marker reveals.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Pricing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Three-tier pricing cards with clear differentiation, price anchoring (per day), comparison table vs. hospital labs, Mobile Money / Paystack badges.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About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Founder story, mission, team photos, advisory board, lab partner details, certifications.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Stories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Patient outcome stories with photos and narratives. Real people, real results.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Blog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Health education content targeting Ghana-specific conditions. SEO play.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FAQ</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Comprehensive FAQ addressing payment, collection, results timing, privacy, and mobile money.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Contact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WhatsApp link, email, phone, office address in Accra.</w:t>
            </w:r>
          </w:p>
        </w:tc>
      </w:tr>
    </w:tbl>
    <w:p>
      <w:r>
        <w:br w:type="page"/>
      </w:r>
    </w:p>
    <w:p>
      <w:pPr>
        <w:pStyle w:val="Heading1"/>
        <w:spacing w:after="200" w:before="360"/>
      </w:pPr>
      <w:r>
        <w:rPr>
          <w:rFonts w:ascii="Arial" w:cs="Arial" w:eastAsia="Arial" w:hAnsi="Arial"/>
          <w:b/>
          <w:bCs/>
        </w:rPr>
        <w:t xml:space="preserve">Part 4: Homepage — Section-by-Section Design Specification</w:t>
      </w:r>
    </w:p>
    <w:p>
      <w:pPr>
        <w:spacing w:after="120" w:before="0" w:line="276"/>
        <w:jc w:val="left"/>
      </w:pPr>
      <w:r>
        <w:rPr>
          <w:rFonts w:ascii="Arial" w:cs="Arial" w:eastAsia="Arial" w:hAnsi="Arial"/>
          <w:color w:val="374151"/>
          <w:sz w:val="22"/>
          <w:szCs w:val="22"/>
        </w:rPr>
        <w:t xml:space="preserve">This is the detailed blueprint for every section of the BetterHealth Africa homepage, in scroll order. Each section specifies content, design direction, animation behavior, and the competitor it draws from.</w:t>
      </w:r>
    </w:p>
    <w:p>
      <w:pPr>
        <w:pStyle w:val="Heading2"/>
        <w:spacing w:after="200" w:before="360"/>
      </w:pPr>
      <w:r>
        <w:rPr>
          <w:rFonts w:ascii="Arial" w:cs="Arial" w:eastAsia="Arial" w:hAnsi="Arial"/>
          <w:b/>
          <w:bCs/>
        </w:rPr>
        <w:t xml:space="preserve">Section 1: Navigation Bar</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 Nucleus</w:t>
      </w:r>
    </w:p>
    <w:p>
      <w:pPr>
        <w:spacing w:after="120" w:before="0" w:line="276"/>
        <w:jc w:val="left"/>
      </w:pPr>
      <w:r>
        <w:rPr>
          <w:rFonts w:ascii="Arial" w:cs="Arial" w:eastAsia="Arial" w:hAnsi="Arial"/>
          <w:b/>
          <w:bCs/>
          <w:color w:val="0D9488"/>
          <w:sz w:val="21"/>
          <w:szCs w:val="21"/>
        </w:rPr>
        <w:t xml:space="preserve">Behavior:</w:t>
      </w:r>
      <w:r>
        <w:rPr>
          <w:rFonts w:ascii="Arial" w:cs="Arial" w:eastAsia="Arial" w:hAnsi="Arial"/>
          <w:color w:val="374151"/>
          <w:sz w:val="21"/>
          <w:szCs w:val="21"/>
        </w:rPr>
        <w:t xml:space="preserve">  Sticky on scroll, glass morphism blur background, logo left, links center, CTA right</w:t>
      </w:r>
    </w:p>
    <w:p>
      <w:pPr>
        <w:spacing w:after="120" w:before="0" w:line="276"/>
        <w:jc w:val="left"/>
      </w:pPr>
      <w:r>
        <w:rPr>
          <w:rFonts w:ascii="Arial" w:cs="Arial" w:eastAsia="Arial" w:hAnsi="Arial"/>
          <w:b/>
          <w:bCs/>
          <w:color w:val="0D9488"/>
          <w:sz w:val="21"/>
          <w:szCs w:val="21"/>
        </w:rPr>
        <w:t xml:space="preserve">Links:</w:t>
      </w:r>
      <w:r>
        <w:rPr>
          <w:rFonts w:ascii="Arial" w:cs="Arial" w:eastAsia="Arial" w:hAnsi="Arial"/>
          <w:color w:val="374151"/>
          <w:sz w:val="21"/>
          <w:szCs w:val="21"/>
        </w:rPr>
        <w:t xml:space="preserve">  How It Works | What We Test | Pricing | About | Stories</w:t>
      </w:r>
    </w:p>
    <w:p>
      <w:pPr>
        <w:spacing w:after="120" w:before="0" w:line="276"/>
        <w:jc w:val="left"/>
      </w:pPr>
      <w:r>
        <w:rPr>
          <w:rFonts w:ascii="Arial" w:cs="Arial" w:eastAsia="Arial" w:hAnsi="Arial"/>
          <w:b/>
          <w:bCs/>
          <w:color w:val="0D9488"/>
          <w:sz w:val="21"/>
          <w:szCs w:val="21"/>
        </w:rPr>
        <w:t xml:space="preserve">CTA Button:</w:t>
      </w:r>
      <w:r>
        <w:rPr>
          <w:rFonts w:ascii="Arial" w:cs="Arial" w:eastAsia="Arial" w:hAnsi="Arial"/>
          <w:color w:val="374151"/>
          <w:sz w:val="21"/>
          <w:szCs w:val="21"/>
        </w:rPr>
        <w:t xml:space="preserve">  “Get Started” — primary teal, rounded, subtle hover glow</w:t>
      </w:r>
    </w:p>
    <w:p>
      <w:pPr>
        <w:spacing w:after="120" w:before="0" w:line="276"/>
        <w:jc w:val="left"/>
      </w:pPr>
      <w:r>
        <w:rPr>
          <w:rFonts w:ascii="Arial" w:cs="Arial" w:eastAsia="Arial" w:hAnsi="Arial"/>
          <w:b/>
          <w:bCs/>
          <w:color w:val="0D9488"/>
          <w:sz w:val="21"/>
          <w:szCs w:val="21"/>
        </w:rPr>
        <w:t xml:space="preserve">Mobile:</w:t>
      </w:r>
      <w:r>
        <w:rPr>
          <w:rFonts w:ascii="Arial" w:cs="Arial" w:eastAsia="Arial" w:hAnsi="Arial"/>
          <w:color w:val="374151"/>
          <w:sz w:val="21"/>
          <w:szCs w:val="21"/>
        </w:rPr>
        <w:t xml:space="preserve">  Hamburger menu with full-screen overlay. CTA always visible.</w:t>
      </w:r>
    </w:p>
    <w:p>
      <w:pPr>
        <w:spacing w:after="120" w:before="0" w:line="276"/>
        <w:jc w:val="left"/>
      </w:pPr>
      <w:r>
        <w:rPr>
          <w:rFonts w:ascii="Arial" w:cs="Arial" w:eastAsia="Arial" w:hAnsi="Arial"/>
          <w:b/>
          <w:bCs/>
          <w:color w:val="0D9488"/>
          <w:sz w:val="21"/>
          <w:szCs w:val="21"/>
        </w:rPr>
        <w:t xml:space="preserve">Trust Signals:</w:t>
      </w:r>
      <w:r>
        <w:rPr>
          <w:rFonts w:ascii="Arial" w:cs="Arial" w:eastAsia="Arial" w:hAnsi="Arial"/>
          <w:color w:val="374151"/>
          <w:sz w:val="21"/>
          <w:szCs w:val="21"/>
        </w:rPr>
        <w:t xml:space="preserve">  Small “Mobile Money Accepted” badge near the CTA on desktop</w:t>
      </w:r>
    </w:p>
    <w:p>
      <w:pPr>
        <w:pStyle w:val="Heading2"/>
        <w:spacing w:after="200" w:before="360"/>
      </w:pPr>
      <w:r>
        <w:rPr>
          <w:rFonts w:ascii="Arial" w:cs="Arial" w:eastAsia="Arial" w:hAnsi="Arial"/>
          <w:b/>
          <w:bCs/>
        </w:rPr>
        <w:t xml:space="preserve">Section 2: Hero Section</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(copy clarity) + Empirical Health (focused promise)</w:t>
      </w:r>
    </w:p>
    <w:p>
      <w:pPr>
        <w:spacing w:after="120" w:before="0" w:line="276"/>
        <w:jc w:val="left"/>
      </w:pPr>
      <w:r>
        <w:rPr>
          <w:rFonts w:ascii="Arial" w:cs="Arial" w:eastAsia="Arial" w:hAnsi="Arial"/>
          <w:i/>
          <w:iCs/>
          <w:color w:val="6B7280"/>
          <w:sz w:val="22"/>
          <w:szCs w:val="22"/>
        </w:rPr>
        <w:t xml:space="preserve">The hero is the most important 5 seconds of the entire website. It must answer three questions instantly: What is this? Who is it for? What do I get?</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Split — left side text, right side product mockup (phone showing health dashboard)</w:t>
      </w:r>
    </w:p>
    <w:p>
      <w:pPr>
        <w:spacing w:after="120" w:before="0" w:line="276"/>
        <w:jc w:val="left"/>
      </w:pPr>
      <w:r>
        <w:rPr>
          <w:rFonts w:ascii="Arial" w:cs="Arial" w:eastAsia="Arial" w:hAnsi="Arial"/>
          <w:b/>
          <w:bCs/>
          <w:color w:val="0D9488"/>
          <w:sz w:val="21"/>
          <w:szCs w:val="21"/>
        </w:rPr>
        <w:t xml:space="preserve">Headline:</w:t>
      </w:r>
      <w:r>
        <w:rPr>
          <w:rFonts w:ascii="Arial" w:cs="Arial" w:eastAsia="Arial" w:hAnsi="Arial"/>
          <w:color w:val="374151"/>
          <w:sz w:val="21"/>
          <w:szCs w:val="21"/>
        </w:rPr>
        <w:t xml:space="preserve">  “Know What’s Happening Inside Your Body.” — Large, bold, dark. One line.</w:t>
      </w:r>
    </w:p>
    <w:p>
      <w:pPr>
        <w:spacing w:after="120" w:before="0" w:line="276"/>
        <w:jc w:val="left"/>
      </w:pPr>
      <w:r>
        <w:rPr>
          <w:rFonts w:ascii="Arial" w:cs="Arial" w:eastAsia="Arial" w:hAnsi="Arial"/>
          <w:b/>
          <w:bCs/>
          <w:color w:val="0D9488"/>
          <w:sz w:val="21"/>
          <w:szCs w:val="21"/>
        </w:rPr>
        <w:t xml:space="preserve">Subheadline:</w:t>
      </w:r>
      <w:r>
        <w:rPr>
          <w:rFonts w:ascii="Arial" w:cs="Arial" w:eastAsia="Arial" w:hAnsi="Arial"/>
          <w:color w:val="374151"/>
          <w:sz w:val="21"/>
          <w:szCs w:val="21"/>
        </w:rPr>
        <w:t xml:space="preserve">  “Comprehensive lab testing with 100+ biomarkers, personalized health insights, and home sample collection. Starting from GHS 8/day.”</w:t>
      </w:r>
    </w:p>
    <w:p>
      <w:pPr>
        <w:spacing w:after="120" w:before="0" w:line="276"/>
        <w:jc w:val="left"/>
      </w:pPr>
      <w:r>
        <w:rPr>
          <w:rFonts w:ascii="Arial" w:cs="Arial" w:eastAsia="Arial" w:hAnsi="Arial"/>
          <w:b/>
          <w:bCs/>
          <w:color w:val="0D9488"/>
          <w:sz w:val="21"/>
          <w:szCs w:val="21"/>
        </w:rPr>
        <w:t xml:space="preserve">Primary CTA:</w:t>
      </w:r>
      <w:r>
        <w:rPr>
          <w:rFonts w:ascii="Arial" w:cs="Arial" w:eastAsia="Arial" w:hAnsi="Arial"/>
          <w:color w:val="374151"/>
          <w:sz w:val="21"/>
          <w:szCs w:val="21"/>
        </w:rPr>
        <w:t xml:space="preserve">  “Start Your Health Check” — teal button, large</w:t>
      </w:r>
    </w:p>
    <w:p>
      <w:pPr>
        <w:spacing w:after="120" w:before="0" w:line="276"/>
        <w:jc w:val="left"/>
      </w:pPr>
      <w:r>
        <w:rPr>
          <w:rFonts w:ascii="Arial" w:cs="Arial" w:eastAsia="Arial" w:hAnsi="Arial"/>
          <w:b/>
          <w:bCs/>
          <w:color w:val="0D9488"/>
          <w:sz w:val="21"/>
          <w:szCs w:val="21"/>
        </w:rPr>
        <w:t xml:space="preserve">Secondary CTA:</w:t>
      </w:r>
      <w:r>
        <w:rPr>
          <w:rFonts w:ascii="Arial" w:cs="Arial" w:eastAsia="Arial" w:hAnsi="Arial"/>
          <w:color w:val="374151"/>
          <w:sz w:val="21"/>
          <w:szCs w:val="21"/>
        </w:rPr>
        <w:t xml:space="preserve">  “See What We Test” — ghost button or text link</w:t>
      </w:r>
    </w:p>
    <w:p>
      <w:pPr>
        <w:spacing w:after="120" w:before="0" w:line="276"/>
        <w:jc w:val="left"/>
      </w:pPr>
      <w:r>
        <w:rPr>
          <w:rFonts w:ascii="Arial" w:cs="Arial" w:eastAsia="Arial" w:hAnsi="Arial"/>
          <w:b/>
          <w:bCs/>
          <w:color w:val="0D9488"/>
          <w:sz w:val="21"/>
          <w:szCs w:val="21"/>
        </w:rPr>
        <w:t xml:space="preserve">Stats Bar:</w:t>
      </w:r>
      <w:r>
        <w:rPr>
          <w:rFonts w:ascii="Arial" w:cs="Arial" w:eastAsia="Arial" w:hAnsi="Arial"/>
          <w:color w:val="374151"/>
          <w:sz w:val="21"/>
          <w:szCs w:val="21"/>
        </w:rPr>
        <w:t xml:space="preserve">  Three stat pills below the CTA: “100+ Biomarkers” | “Home Collection” | “From GHS 8/day”</w:t>
      </w:r>
    </w:p>
    <w:p>
      <w:pPr>
        <w:spacing w:after="120" w:before="0" w:line="276"/>
        <w:jc w:val="left"/>
      </w:pPr>
      <w:r>
        <w:rPr>
          <w:rFonts w:ascii="Arial" w:cs="Arial" w:eastAsia="Arial" w:hAnsi="Arial"/>
          <w:b/>
          <w:bCs/>
          <w:color w:val="0D9488"/>
          <w:sz w:val="21"/>
          <w:szCs w:val="21"/>
        </w:rPr>
        <w:t xml:space="preserve">Animation:</w:t>
      </w:r>
      <w:r>
        <w:rPr>
          <w:rFonts w:ascii="Arial" w:cs="Arial" w:eastAsia="Arial" w:hAnsi="Arial"/>
          <w:color w:val="374151"/>
          <w:sz w:val="21"/>
          <w:szCs w:val="21"/>
        </w:rPr>
        <w:t xml:space="preserve">  Text fades in from left, phone mockup slides in from right with a subtle parallax float effect</w:t>
      </w:r>
    </w:p>
    <w:p>
      <w:pPr>
        <w:spacing w:after="120" w:before="0" w:line="276"/>
        <w:jc w:val="left"/>
      </w:pPr>
      <w:r>
        <w:rPr>
          <w:rFonts w:ascii="Arial" w:cs="Arial" w:eastAsia="Arial" w:hAnsi="Arial"/>
          <w:b/>
          <w:bCs/>
          <w:color w:val="0D9488"/>
          <w:sz w:val="21"/>
          <w:szCs w:val="21"/>
        </w:rPr>
        <w:t xml:space="preserve">Background:</w:t>
      </w:r>
      <w:r>
        <w:rPr>
          <w:rFonts w:ascii="Arial" w:cs="Arial" w:eastAsia="Arial" w:hAnsi="Arial"/>
          <w:color w:val="374151"/>
          <w:sz w:val="21"/>
          <w:szCs w:val="21"/>
        </w:rPr>
        <w:t xml:space="preserve">  Clean white or very light gradient. No busy patterns.</w:t>
      </w:r>
    </w:p>
    <w:p>
      <w:pPr>
        <w:pStyle w:val="Heading2"/>
        <w:spacing w:after="200" w:before="360"/>
      </w:pPr>
      <w:r>
        <w:rPr>
          <w:rFonts w:ascii="Arial" w:cs="Arial" w:eastAsia="Arial" w:hAnsi="Arial"/>
          <w:b/>
          <w:bCs/>
        </w:rPr>
        <w:t xml:space="preserve">Section 3: Trust / Partner Logo Bar</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Nucleus (press logos) + Function Health (lab partner)</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Scrolling or static logos: Lab Access Ghana, Paystack, any media features, relevant certifications</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Grayscale logos on a subtle light gray band. Auto-scrolling marquee on mobile.</w:t>
      </w:r>
    </w:p>
    <w:p>
      <w:pPr>
        <w:spacing w:after="120" w:before="0" w:line="276"/>
        <w:jc w:val="left"/>
      </w:pPr>
      <w:r>
        <w:rPr>
          <w:rFonts w:ascii="Arial" w:cs="Arial" w:eastAsia="Arial" w:hAnsi="Arial"/>
          <w:b/>
          <w:bCs/>
          <w:color w:val="0D9488"/>
          <w:sz w:val="21"/>
          <w:szCs w:val="21"/>
        </w:rPr>
        <w:t xml:space="preserve">Copy:</w:t>
      </w:r>
      <w:r>
        <w:rPr>
          <w:rFonts w:ascii="Arial" w:cs="Arial" w:eastAsia="Arial" w:hAnsi="Arial"/>
          <w:color w:val="374151"/>
          <w:sz w:val="21"/>
          <w:szCs w:val="21"/>
        </w:rPr>
        <w:t xml:space="preserve">  “Trusted by” or “In partnership with” as a small eyebrow label</w:t>
      </w:r>
    </w:p>
    <w:p>
      <w:pPr>
        <w:pStyle w:val="Heading2"/>
        <w:spacing w:after="200" w:before="360"/>
      </w:pPr>
      <w:r>
        <w:rPr>
          <w:rFonts w:ascii="Arial" w:cs="Arial" w:eastAsia="Arial" w:hAnsi="Arial"/>
          <w:b/>
          <w:bCs/>
        </w:rPr>
        <w:t xml:space="preserve">Section 4: Condition Detection Marquee</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(disease scrolling wall)</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Infinite horizontal scroll of conditions: Diabetes, Hypertension, Sickle Cell Trait, Hepatitis B, Thyroid Disorders, Kidney Disease, Liver Disease, Anemia, PCOS, Prostate Cancer, Cholesterol, Vitamin Deficiency, Malaria Aftermath, HIV Monitoring, Gout...</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Dark background section. White text in pill/tag shapes, scrolling in alternating directions (two rows).</w:t>
      </w:r>
    </w:p>
    <w:p>
      <w:pPr>
        <w:spacing w:after="120" w:before="0" w:line="276"/>
        <w:jc w:val="left"/>
      </w:pPr>
      <w:r>
        <w:rPr>
          <w:rFonts w:ascii="Arial" w:cs="Arial" w:eastAsia="Arial" w:hAnsi="Arial"/>
          <w:b/>
          <w:bCs/>
          <w:color w:val="0D9488"/>
          <w:sz w:val="21"/>
          <w:szCs w:val="21"/>
        </w:rPr>
        <w:t xml:space="preserve">Eyebrow:</w:t>
      </w:r>
      <w:r>
        <w:rPr>
          <w:rFonts w:ascii="Arial" w:cs="Arial" w:eastAsia="Arial" w:hAnsi="Arial"/>
          <w:color w:val="374151"/>
          <w:sz w:val="21"/>
          <w:szCs w:val="21"/>
        </w:rPr>
        <w:t xml:space="preserve">  “Screen for early indicators of 100+ conditions”</w:t>
      </w:r>
    </w:p>
    <w:p>
      <w:pPr>
        <w:spacing w:after="120" w:before="0" w:line="276"/>
        <w:jc w:val="left"/>
      </w:pPr>
      <w:r>
        <w:rPr>
          <w:rFonts w:ascii="Arial" w:cs="Arial" w:eastAsia="Arial" w:hAnsi="Arial"/>
          <w:b/>
          <w:bCs/>
          <w:color w:val="0D9488"/>
          <w:sz w:val="21"/>
          <w:szCs w:val="21"/>
        </w:rPr>
        <w:t xml:space="preserve">Animation:</w:t>
      </w:r>
      <w:r>
        <w:rPr>
          <w:rFonts w:ascii="Arial" w:cs="Arial" w:eastAsia="Arial" w:hAnsi="Arial"/>
          <w:color w:val="374151"/>
          <w:sz w:val="21"/>
          <w:szCs w:val="21"/>
        </w:rPr>
        <w:t xml:space="preserve">  Continuous CSS marquee. Pauses on hover.</w:t>
      </w:r>
    </w:p>
    <w:p>
      <w:pPr>
        <w:pStyle w:val="Heading2"/>
        <w:spacing w:after="200" w:before="360"/>
      </w:pPr>
      <w:r>
        <w:rPr>
          <w:rFonts w:ascii="Arial" w:cs="Arial" w:eastAsia="Arial" w:hAnsi="Arial"/>
          <w:b/>
          <w:bCs/>
        </w:rPr>
        <w:t xml:space="preserve">Section 5: How It Works</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Geviti (numbered steps) + Empirical Health (three-act narrative)</w:t>
      </w:r>
    </w:p>
    <w:p>
      <w:pPr>
        <w:spacing w:after="120" w:before="0" w:line="276"/>
        <w:jc w:val="left"/>
      </w:pPr>
      <w:r>
        <w:rPr>
          <w:rFonts w:ascii="Arial" w:cs="Arial" w:eastAsia="Arial" w:hAnsi="Arial"/>
          <w:b/>
          <w:bCs/>
          <w:color w:val="0D9488"/>
          <w:sz w:val="21"/>
          <w:szCs w:val="21"/>
        </w:rPr>
        <w:t xml:space="preserve">Structure:</w:t>
      </w:r>
      <w:r>
        <w:rPr>
          <w:rFonts w:ascii="Arial" w:cs="Arial" w:eastAsia="Arial" w:hAnsi="Arial"/>
          <w:color w:val="374151"/>
          <w:sz w:val="21"/>
          <w:szCs w:val="21"/>
        </w:rPr>
        <w:t xml:space="preserve">  Four oversized numbered steps, each with an icon or illustration</w:t>
      </w:r>
    </w:p>
    <w:p>
      <w:pPr>
        <w:spacing w:after="120" w:before="0" w:line="276"/>
        <w:jc w:val="left"/>
      </w:pPr>
      <w:r>
        <w:rPr>
          <w:rFonts w:ascii="Arial" w:cs="Arial" w:eastAsia="Arial" w:hAnsi="Arial"/>
          <w:b/>
          <w:bCs/>
          <w:color w:val="374151"/>
          <w:sz w:val="22"/>
          <w:szCs w:val="22"/>
        </w:rPr>
        <w:t xml:space="preserve">Step 01 — Sign Up: Create your account, choose your package, and pay with Mobile Money or card.</w:t>
      </w:r>
    </w:p>
    <w:p>
      <w:pPr>
        <w:spacing w:after="120" w:before="0" w:line="276"/>
        <w:jc w:val="left"/>
      </w:pPr>
      <w:r>
        <w:rPr>
          <w:rFonts w:ascii="Arial" w:cs="Arial" w:eastAsia="Arial" w:hAnsi="Arial"/>
          <w:b/>
          <w:bCs/>
          <w:color w:val="374151"/>
          <w:sz w:val="22"/>
          <w:szCs w:val="22"/>
        </w:rPr>
        <w:t xml:space="preserve">Step 02 — Book Collection: Choose in-lab visit or home collection. A certified phlebotomist comes to your door.</w:t>
      </w:r>
    </w:p>
    <w:p>
      <w:pPr>
        <w:spacing w:after="120" w:before="0" w:line="276"/>
        <w:jc w:val="left"/>
      </w:pPr>
      <w:r>
        <w:rPr>
          <w:rFonts w:ascii="Arial" w:cs="Arial" w:eastAsia="Arial" w:hAnsi="Arial"/>
          <w:b/>
          <w:bCs/>
          <w:color w:val="374151"/>
          <w:sz w:val="22"/>
          <w:szCs w:val="22"/>
        </w:rPr>
        <w:t xml:space="preserve">Step 03 — Get Your Results: Comprehensive results in your health dashboard within 48–72 hours. Every biomarker explained.</w:t>
      </w:r>
    </w:p>
    <w:p>
      <w:pPr>
        <w:spacing w:after="120" w:before="0" w:line="276"/>
        <w:jc w:val="left"/>
      </w:pPr>
      <w:r>
        <w:rPr>
          <w:rFonts w:ascii="Arial" w:cs="Arial" w:eastAsia="Arial" w:hAnsi="Arial"/>
          <w:b/>
          <w:bCs/>
          <w:color w:val="374151"/>
          <w:sz w:val="22"/>
          <w:szCs w:val="22"/>
        </w:rPr>
        <w:t xml:space="preserve">Step 04 — Take Action: Personalized insights and recommendations. Track changes over time.</w:t>
      </w:r>
    </w:p>
    <w:p>
      <w:pPr>
        <w:spacing w:after="120" w:before="0" w:line="276"/>
        <w:jc w:val="left"/>
      </w:pPr>
      <w:r>
        <w:rPr>
          <w:rFonts w:ascii="Arial" w:cs="Arial" w:eastAsia="Arial" w:hAnsi="Arial"/>
          <w:b/>
          <w:bCs/>
          <w:color w:val="0D9488"/>
          <w:sz w:val="21"/>
          <w:szCs w:val="21"/>
        </w:rPr>
        <w:t xml:space="preserve">Animation:</w:t>
      </w:r>
      <w:r>
        <w:rPr>
          <w:rFonts w:ascii="Arial" w:cs="Arial" w:eastAsia="Arial" w:hAnsi="Arial"/>
          <w:color w:val="374151"/>
          <w:sz w:val="21"/>
          <w:szCs w:val="21"/>
        </w:rPr>
        <w:t xml:space="preserve">  Steps reveal sequentially on scroll (staggered fade-up)</w:t>
      </w:r>
    </w:p>
    <w:p>
      <w:pPr>
        <w:spacing w:after="120" w:before="0" w:line="276"/>
        <w:jc w:val="left"/>
      </w:pPr>
      <w:r>
        <w:rPr>
          <w:rFonts w:ascii="Arial" w:cs="Arial" w:eastAsia="Arial" w:hAnsi="Arial"/>
          <w:b/>
          <w:bCs/>
          <w:color w:val="0D9488"/>
          <w:sz w:val="21"/>
          <w:szCs w:val="21"/>
        </w:rPr>
        <w:t xml:space="preserve">CTA:</w:t>
      </w:r>
      <w:r>
        <w:rPr>
          <w:rFonts w:ascii="Arial" w:cs="Arial" w:eastAsia="Arial" w:hAnsi="Arial"/>
          <w:color w:val="374151"/>
          <w:sz w:val="21"/>
          <w:szCs w:val="21"/>
        </w:rPr>
        <w:t xml:space="preserve">  “Get Started” button below the steps</w:t>
      </w:r>
    </w:p>
    <w:p>
      <w:pPr>
        <w:pStyle w:val="Heading2"/>
        <w:spacing w:after="200" w:before="360"/>
      </w:pPr>
      <w:r>
        <w:rPr>
          <w:rFonts w:ascii="Arial" w:cs="Arial" w:eastAsia="Arial" w:hAnsi="Arial"/>
          <w:b/>
          <w:bCs/>
        </w:rPr>
        <w:t xml:space="preserve">Section 6: Product Dashboard Showcase</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Geviti (app showcase) + Empirical Health (phone mockup with video)</w:t>
      </w:r>
    </w:p>
    <w:p>
      <w:pPr>
        <w:spacing w:after="120" w:before="0" w:line="276"/>
        <w:jc w:val="left"/>
      </w:pPr>
      <w:r>
        <w:rPr>
          <w:rFonts w:ascii="Arial" w:cs="Arial" w:eastAsia="Arial" w:hAnsi="Arial"/>
          <w:i/>
          <w:iCs/>
          <w:color w:val="6B7280"/>
          <w:sz w:val="22"/>
          <w:szCs w:val="22"/>
        </w:rPr>
        <w:t xml:space="preserve">This is the most important conversion section after the hero. Visitors need to see what they’re actually paying for.</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Large phone or laptop mockup showing the BetterHealth health dashboard</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Animated walkthrough or looping video showing: organ system health view, biomarker scores with color coding (green/amber/red), trend charts over time, personalized recommendations</w:t>
      </w:r>
    </w:p>
    <w:p>
      <w:pPr>
        <w:spacing w:after="120" w:before="0" w:line="276"/>
        <w:jc w:val="left"/>
      </w:pPr>
      <w:r>
        <w:rPr>
          <w:rFonts w:ascii="Arial" w:cs="Arial" w:eastAsia="Arial" w:hAnsi="Arial"/>
          <w:b/>
          <w:bCs/>
          <w:color w:val="0D9488"/>
          <w:sz w:val="21"/>
          <w:szCs w:val="21"/>
        </w:rPr>
        <w:t xml:space="preserve">Tabs/Carousel:</w:t>
      </w:r>
      <w:r>
        <w:rPr>
          <w:rFonts w:ascii="Arial" w:cs="Arial" w:eastAsia="Arial" w:hAnsi="Arial"/>
          <w:color w:val="374151"/>
          <w:sz w:val="21"/>
          <w:szCs w:val="21"/>
        </w:rPr>
        <w:t xml:space="preserve">  Interactive tabs: Dashboard | Lab Results | Health History | Biomarker Trends</w:t>
      </w:r>
    </w:p>
    <w:p>
      <w:pPr>
        <w:spacing w:after="120" w:before="0" w:line="276"/>
        <w:jc w:val="left"/>
      </w:pPr>
      <w:r>
        <w:rPr>
          <w:rFonts w:ascii="Arial" w:cs="Arial" w:eastAsia="Arial" w:hAnsi="Arial"/>
          <w:b/>
          <w:bCs/>
          <w:color w:val="0D9488"/>
          <w:sz w:val="21"/>
          <w:szCs w:val="21"/>
        </w:rPr>
        <w:t xml:space="preserve">Supporting Copy:</w:t>
      </w:r>
      <w:r>
        <w:rPr>
          <w:rFonts w:ascii="Arial" w:cs="Arial" w:eastAsia="Arial" w:hAnsi="Arial"/>
          <w:color w:val="374151"/>
          <w:sz w:val="21"/>
          <w:szCs w:val="21"/>
        </w:rPr>
        <w:t xml:space="preserve">  “Your health, in one place. Track every biomarker. Understand every result. See how your body changes over time.”</w:t>
      </w:r>
    </w:p>
    <w:p>
      <w:pPr>
        <w:spacing w:after="120" w:before="0" w:line="276"/>
        <w:jc w:val="left"/>
      </w:pPr>
      <w:r>
        <w:rPr>
          <w:rFonts w:ascii="Arial" w:cs="Arial" w:eastAsia="Arial" w:hAnsi="Arial"/>
          <w:b/>
          <w:bCs/>
          <w:color w:val="0D9488"/>
          <w:sz w:val="21"/>
          <w:szCs w:val="21"/>
        </w:rPr>
        <w:t xml:space="preserve">Animation:</w:t>
      </w:r>
      <w:r>
        <w:rPr>
          <w:rFonts w:ascii="Arial" w:cs="Arial" w:eastAsia="Arial" w:hAnsi="Arial"/>
          <w:color w:val="374151"/>
          <w:sz w:val="21"/>
          <w:szCs w:val="21"/>
        </w:rPr>
        <w:t xml:space="preserve">  Phone floats with subtle shadow. Screen content transitions smoothly between views.</w:t>
      </w:r>
    </w:p>
    <w:p>
      <w:r>
        <w:br w:type="page"/>
      </w:r>
    </w:p>
    <w:p>
      <w:pPr>
        <w:pStyle w:val="Heading2"/>
        <w:spacing w:after="200" w:before="360"/>
      </w:pPr>
      <w:r>
        <w:rPr>
          <w:rFonts w:ascii="Arial" w:cs="Arial" w:eastAsia="Arial" w:hAnsi="Arial"/>
          <w:b/>
          <w:bCs/>
        </w:rPr>
        <w:t xml:space="preserve">Section 7: What We Test (Interactive Explorer)</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Empirical Health (body system categories) + Function Health (test categories)</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Category cards or accordion by body system, each expandable to show specific biomarkers</w:t>
      </w:r>
    </w:p>
    <w:p>
      <w:pPr>
        <w:spacing w:after="120" w:before="0" w:line="276"/>
        <w:jc w:val="left"/>
      </w:pPr>
      <w:r>
        <w:rPr>
          <w:rFonts w:ascii="Arial" w:cs="Arial" w:eastAsia="Arial" w:hAnsi="Arial"/>
          <w:color w:val="374151"/>
          <w:sz w:val="22"/>
          <w:szCs w:val="22"/>
        </w:rPr>
        <w:t xml:space="preserve">Categories: Heart &amp; Cardiovascular (12 markers), Liver Function (6 markers), Kidney Function (8 markers), Metabolic &amp; Diabetes (6 markers), Hormones (10 markers), Nutrients &amp; Vitamins (8 markers), Blood Health (14 markers), Inflammation &amp; Immunity (6 markers), Thyroid (5 markers), Sexual Health &amp; Fertility (8 markers)</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Cards with subtle icons for each body system. Expand on click to show biomarker list.</w:t>
      </w:r>
    </w:p>
    <w:p>
      <w:pPr>
        <w:spacing w:after="120" w:before="0" w:line="276"/>
        <w:jc w:val="left"/>
      </w:pPr>
      <w:r>
        <w:rPr>
          <w:rFonts w:ascii="Arial" w:cs="Arial" w:eastAsia="Arial" w:hAnsi="Arial"/>
          <w:b/>
          <w:bCs/>
          <w:color w:val="0D9488"/>
          <w:sz w:val="21"/>
          <w:szCs w:val="21"/>
        </w:rPr>
        <w:t xml:space="preserve">CTA:</w:t>
      </w:r>
      <w:r>
        <w:rPr>
          <w:rFonts w:ascii="Arial" w:cs="Arial" w:eastAsia="Arial" w:hAnsi="Arial"/>
          <w:color w:val="374151"/>
          <w:sz w:val="21"/>
          <w:szCs w:val="21"/>
        </w:rPr>
        <w:t xml:space="preserve">  “See Full Test Menu” linking to the dedicated What We Test page</w:t>
      </w:r>
    </w:p>
    <w:p>
      <w:pPr>
        <w:pStyle w:val="Heading2"/>
        <w:spacing w:after="200" w:before="360"/>
      </w:pPr>
      <w:r>
        <w:rPr>
          <w:rFonts w:ascii="Arial" w:cs="Arial" w:eastAsia="Arial" w:hAnsi="Arial"/>
          <w:b/>
          <w:bCs/>
        </w:rPr>
        <w:t xml:space="preserve">Section 8: BetterHealth vs. Hospital Labs</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(comparison table)</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Two-column comparison table with checkmarks and X marks</w:t>
      </w:r>
    </w:p>
    <w:p>
      <w:pPr>
        <w:spacing w:after="120" w:before="0" w:line="276"/>
        <w:jc w:val="left"/>
      </w:pPr>
      <w:r>
        <w:rPr>
          <w:rFonts w:ascii="Arial" w:cs="Arial" w:eastAsia="Arial" w:hAnsi="Arial"/>
          <w:color w:val="374151"/>
          <w:sz w:val="22"/>
          <w:szCs w:val="22"/>
        </w:rPr>
        <w:t xml:space="preserve">Left column: BetterHealth (all checks). Right column: Typical Hospital Lab (mostly X marks or limited).</w:t>
      </w:r>
    </w:p>
    <w:p>
      <w:pPr>
        <w:spacing w:after="120" w:before="0" w:line="276"/>
        <w:jc w:val="left"/>
      </w:pPr>
      <w:r>
        <w:rPr>
          <w:rFonts w:ascii="Arial" w:cs="Arial" w:eastAsia="Arial" w:hAnsi="Arial"/>
          <w:color w:val="374151"/>
          <w:sz w:val="22"/>
          <w:szCs w:val="22"/>
        </w:rPr>
        <w:t xml:space="preserve">Comparison rows: 100+ biomarkers in one visit, Home sample collection, Results in 48–72 hours, Plain-language explanations, Biomarker tracking over time, Digital health dashboard, Personalized recommendations, Mobile Money payment, No referral needed, Affordable fixed pricing</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Clean table with the BetterHealth column highlighted in teal. Hospital column in gray.</w:t>
      </w:r>
    </w:p>
    <w:p>
      <w:pPr>
        <w:pStyle w:val="Heading2"/>
        <w:spacing w:after="200" w:before="360"/>
      </w:pPr>
      <w:r>
        <w:rPr>
          <w:rFonts w:ascii="Arial" w:cs="Arial" w:eastAsia="Arial" w:hAnsi="Arial"/>
          <w:b/>
          <w:bCs/>
        </w:rPr>
        <w:t xml:space="preserve">Section 9: Testimonials &amp; Patient Stories</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(outcome stories) + Nucleus (video embeds) + Geviti (mixed format)</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Carousel or grid mixing video testimonials and text cards</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3–5 stories from beta users or early patients. Each with: photo (with consent), name, their discovery, and outcome.</w:t>
      </w:r>
    </w:p>
    <w:p>
      <w:pPr>
        <w:spacing w:after="120" w:before="0" w:line="276"/>
        <w:jc w:val="left"/>
      </w:pPr>
      <w:r>
        <w:rPr>
          <w:rFonts w:ascii="Arial" w:cs="Arial" w:eastAsia="Arial" w:hAnsi="Arial"/>
          <w:color w:val="374151"/>
          <w:sz w:val="22"/>
          <w:szCs w:val="22"/>
        </w:rPr>
        <w:t xml:space="preserve">Example story formats: “I discovered I was pre-diabetic at 32. My doctor at Korle Bu never tested for it.” / “My Vitamin D was critically low. I had no idea that was causing my fatigue.” / “I found out I carry the sickle cell trait. Now my partner and I can plan.”</w:t>
      </w:r>
    </w:p>
    <w:p>
      <w:pPr>
        <w:spacing w:after="120" w:before="0" w:line="276"/>
        <w:jc w:val="left"/>
      </w:pPr>
      <w:r>
        <w:rPr>
          <w:rFonts w:ascii="Arial" w:cs="Arial" w:eastAsia="Arial" w:hAnsi="Arial"/>
          <w:b/>
          <w:bCs/>
          <w:color w:val="0D9488"/>
          <w:sz w:val="21"/>
          <w:szCs w:val="21"/>
        </w:rPr>
        <w:t xml:space="preserve">Animation:</w:t>
      </w:r>
      <w:r>
        <w:rPr>
          <w:rFonts w:ascii="Arial" w:cs="Arial" w:eastAsia="Arial" w:hAnsi="Arial"/>
          <w:color w:val="374151"/>
          <w:sz w:val="21"/>
          <w:szCs w:val="21"/>
        </w:rPr>
        <w:t xml:space="preserve">  Auto-scrolling carousel. Manual navigation dots.</w:t>
      </w:r>
    </w:p>
    <w:p>
      <w:pPr>
        <w:pStyle w:val="Heading2"/>
        <w:spacing w:after="200" w:before="360"/>
      </w:pPr>
      <w:r>
        <w:rPr>
          <w:rFonts w:ascii="Arial" w:cs="Arial" w:eastAsia="Arial" w:hAnsi="Arial"/>
          <w:b/>
          <w:bCs/>
        </w:rPr>
        <w:t xml:space="preserve">Section 10: Pricing Preview</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Geviti (tiered cards) + Function Health (price anchoring)</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Three pricing cards side by side. Middle card elevated with “Most Popular” badge.</w:t>
      </w:r>
    </w:p>
    <w:p>
      <w:pPr>
        <w:spacing w:after="120" w:before="0" w:line="276"/>
        <w:jc w:val="left"/>
      </w:pPr>
      <w:r>
        <w:rPr>
          <w:rFonts w:ascii="Arial" w:cs="Arial" w:eastAsia="Arial" w:hAnsi="Arial"/>
          <w:b/>
          <w:bCs/>
          <w:color w:val="0D9488"/>
          <w:sz w:val="21"/>
          <w:szCs w:val="21"/>
        </w:rPr>
        <w:t xml:space="preserve">Price Display:</w:t>
      </w:r>
      <w:r>
        <w:rPr>
          <w:rFonts w:ascii="Arial" w:cs="Arial" w:eastAsia="Arial" w:hAnsi="Arial"/>
          <w:color w:val="374151"/>
          <w:sz w:val="21"/>
          <w:szCs w:val="21"/>
        </w:rPr>
        <w:t xml:space="preserve">  Show monthly equivalent prominently (e.g., GHS 247/mo), annual price in smaller text below</w:t>
      </w:r>
    </w:p>
    <w:p>
      <w:pPr>
        <w:spacing w:after="120" w:before="0" w:line="276"/>
        <w:jc w:val="left"/>
      </w:pPr>
      <w:r>
        <w:rPr>
          <w:rFonts w:ascii="Arial" w:cs="Arial" w:eastAsia="Arial" w:hAnsi="Arial"/>
          <w:b/>
          <w:bCs/>
          <w:color w:val="0D9488"/>
          <w:sz w:val="21"/>
          <w:szCs w:val="21"/>
        </w:rPr>
        <w:t xml:space="preserve">Each Card:</w:t>
      </w:r>
      <w:r>
        <w:rPr>
          <w:rFonts w:ascii="Arial" w:cs="Arial" w:eastAsia="Arial" w:hAnsi="Arial"/>
          <w:color w:val="374151"/>
          <w:sz w:val="21"/>
          <w:szCs w:val="21"/>
        </w:rPr>
        <w:t xml:space="preserve">  Plan name, price, key features (3–5 bullets), CTA button</w:t>
      </w:r>
    </w:p>
    <w:p>
      <w:pPr>
        <w:spacing w:after="120" w:before="0" w:line="276"/>
        <w:jc w:val="left"/>
      </w:pPr>
      <w:r>
        <w:rPr>
          <w:rFonts w:ascii="Arial" w:cs="Arial" w:eastAsia="Arial" w:hAnsi="Arial"/>
          <w:b/>
          <w:bCs/>
          <w:color w:val="0D9488"/>
          <w:sz w:val="21"/>
          <w:szCs w:val="21"/>
        </w:rPr>
        <w:t xml:space="preserve">Value Anchor:</w:t>
      </w:r>
      <w:r>
        <w:rPr>
          <w:rFonts w:ascii="Arial" w:cs="Arial" w:eastAsia="Arial" w:hAnsi="Arial"/>
          <w:color w:val="374151"/>
          <w:sz w:val="21"/>
          <w:szCs w:val="21"/>
        </w:rPr>
        <w:t xml:space="preserve">  Above the cards: “What would cost GHS 15,000+ at a private hospital is GHS X with BetterHealth”</w:t>
      </w:r>
    </w:p>
    <w:p>
      <w:pPr>
        <w:spacing w:after="120" w:before="0" w:line="276"/>
        <w:jc w:val="left"/>
      </w:pPr>
      <w:r>
        <w:rPr>
          <w:rFonts w:ascii="Arial" w:cs="Arial" w:eastAsia="Arial" w:hAnsi="Arial"/>
          <w:b/>
          <w:bCs/>
          <w:color w:val="0D9488"/>
          <w:sz w:val="21"/>
          <w:szCs w:val="21"/>
        </w:rPr>
        <w:t xml:space="preserve">Trust Badges:</w:t>
      </w:r>
      <w:r>
        <w:rPr>
          <w:rFonts w:ascii="Arial" w:cs="Arial" w:eastAsia="Arial" w:hAnsi="Arial"/>
          <w:color w:val="374151"/>
          <w:sz w:val="21"/>
          <w:szCs w:val="21"/>
        </w:rPr>
        <w:t xml:space="preserve">  Mobile Money Accepted | Paystack Secured | Cancel Anytime</w:t>
      </w:r>
    </w:p>
    <w:p>
      <w:pPr>
        <w:pStyle w:val="Heading2"/>
        <w:spacing w:after="200" w:before="360"/>
      </w:pPr>
      <w:r>
        <w:rPr>
          <w:rFonts w:ascii="Arial" w:cs="Arial" w:eastAsia="Arial" w:hAnsi="Arial"/>
          <w:b/>
          <w:bCs/>
        </w:rPr>
        <w:t xml:space="preserve">Section 11: Founder Story &amp; Mission</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Geviti (founder section)</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Full-width section. Photo on one side, story text on the other.</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Damzi’s personal story — why BetterHealth exists, what drove the founding, the vision for African health autonomy. This should be authentic and personal.</w:t>
      </w:r>
    </w:p>
    <w:p>
      <w:pPr>
        <w:spacing w:after="120" w:before="0" w:line="276"/>
        <w:jc w:val="left"/>
      </w:pPr>
      <w:r>
        <w:rPr>
          <w:rFonts w:ascii="Arial" w:cs="Arial" w:eastAsia="Arial" w:hAnsi="Arial"/>
          <w:b/>
          <w:bCs/>
          <w:color w:val="0D9488"/>
          <w:sz w:val="21"/>
          <w:szCs w:val="21"/>
        </w:rPr>
        <w:t xml:space="preserve">Tone:</w:t>
      </w:r>
      <w:r>
        <w:rPr>
          <w:rFonts w:ascii="Arial" w:cs="Arial" w:eastAsia="Arial" w:hAnsi="Arial"/>
          <w:color w:val="374151"/>
          <w:sz w:val="21"/>
          <w:szCs w:val="21"/>
        </w:rPr>
        <w:t xml:space="preserve">  Not corporate. First person. Emotional but grounded.</w:t>
      </w:r>
    </w:p>
    <w:p>
      <w:pPr>
        <w:spacing w:after="120" w:before="0" w:line="276"/>
        <w:jc w:val="left"/>
      </w:pPr>
      <w:r>
        <w:rPr>
          <w:rFonts w:ascii="Arial" w:cs="Arial" w:eastAsia="Arial" w:hAnsi="Arial"/>
          <w:b/>
          <w:bCs/>
          <w:color w:val="0D9488"/>
          <w:sz w:val="21"/>
          <w:szCs w:val="21"/>
        </w:rPr>
        <w:t xml:space="preserve">CTA:</w:t>
      </w:r>
      <w:r>
        <w:rPr>
          <w:rFonts w:ascii="Arial" w:cs="Arial" w:eastAsia="Arial" w:hAnsi="Arial"/>
          <w:color w:val="374151"/>
          <w:sz w:val="21"/>
          <w:szCs w:val="21"/>
        </w:rPr>
        <w:t xml:space="preserve">  “Read Our Story” linking to the About page</w:t>
      </w:r>
    </w:p>
    <w:p>
      <w:pPr>
        <w:pStyle w:val="Heading2"/>
        <w:spacing w:after="200" w:before="360"/>
      </w:pPr>
      <w:r>
        <w:rPr>
          <w:rFonts w:ascii="Arial" w:cs="Arial" w:eastAsia="Arial" w:hAnsi="Arial"/>
          <w:b/>
          <w:bCs/>
        </w:rPr>
        <w:t xml:space="preserve">Section 12: Medical &amp; Advisory Team</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(medical board with photos and credentials)</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Photos, names, titles, and institutional affiliations of any doctors, lab scientists, or advisors involved with BetterHealth</w:t>
      </w:r>
    </w:p>
    <w:p>
      <w:pPr>
        <w:spacing w:after="120" w:before="0" w:line="276"/>
        <w:jc w:val="left"/>
      </w:pPr>
      <w:r>
        <w:rPr>
          <w:rFonts w:ascii="Arial" w:cs="Arial" w:eastAsia="Arial" w:hAnsi="Arial"/>
          <w:b/>
          <w:bCs/>
          <w:color w:val="0D9488"/>
          <w:sz w:val="21"/>
          <w:szCs w:val="21"/>
        </w:rPr>
        <w:t xml:space="preserve">Minimum:</w:t>
      </w:r>
      <w:r>
        <w:rPr>
          <w:rFonts w:ascii="Arial" w:cs="Arial" w:eastAsia="Arial" w:hAnsi="Arial"/>
          <w:color w:val="374151"/>
          <w:sz w:val="21"/>
          <w:szCs w:val="21"/>
        </w:rPr>
        <w:t xml:space="preserve">  Even 2–3 credentialed professionals with real photos will dramatically increase trust</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Circular photos in a horizontal row with name and title below each</w:t>
      </w:r>
    </w:p>
    <w:p>
      <w:pPr>
        <w:pStyle w:val="Heading2"/>
        <w:spacing w:after="200" w:before="360"/>
      </w:pPr>
      <w:r>
        <w:rPr>
          <w:rFonts w:ascii="Arial" w:cs="Arial" w:eastAsia="Arial" w:hAnsi="Arial"/>
          <w:b/>
          <w:bCs/>
        </w:rPr>
        <w:t xml:space="preserve">Section 13: FAQ Accordion</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Geviti (expandable FAQ)</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8–10 most common questions. Must address: How does home collection work? How do I pay? How long for results? Is my data private? Do I need a doctor’s referral? What if something is wrong with my results? Can I use Mobile Money?</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Simple accordion. Clean typography. No clutter.</w:t>
      </w:r>
    </w:p>
    <w:p>
      <w:pPr>
        <w:pStyle w:val="Heading2"/>
        <w:spacing w:after="200" w:before="360"/>
      </w:pPr>
      <w:r>
        <w:rPr>
          <w:rFonts w:ascii="Arial" w:cs="Arial" w:eastAsia="Arial" w:hAnsi="Arial"/>
          <w:b/>
          <w:bCs/>
        </w:rPr>
        <w:t xml:space="preserve">Section 14: Final CTA / Mission Statement</w:t>
      </w:r>
    </w:p>
    <w:p>
      <w:pPr>
        <w:spacing w:after="120" w:before="0" w:line="276"/>
        <w:jc w:val="left"/>
      </w:pPr>
      <w:r>
        <w:rPr>
          <w:rFonts w:ascii="Arial" w:cs="Arial" w:eastAsia="Arial" w:hAnsi="Arial"/>
          <w:b/>
          <w:bCs/>
          <w:color w:val="0D9488"/>
          <w:sz w:val="21"/>
          <w:szCs w:val="21"/>
        </w:rPr>
        <w:t xml:space="preserve">Source Inspiration:</w:t>
      </w:r>
      <w:r>
        <w:rPr>
          <w:rFonts w:ascii="Arial" w:cs="Arial" w:eastAsia="Arial" w:hAnsi="Arial"/>
          <w:color w:val="374151"/>
          <w:sz w:val="21"/>
          <w:szCs w:val="21"/>
        </w:rPr>
        <w:t xml:space="preserve">  Function Health (“Life is short? We disagree.”) + Nucleus (emotionally powerful closing)</w:t>
      </w:r>
    </w:p>
    <w:p>
      <w:pPr>
        <w:spacing w:after="120" w:before="0" w:line="276"/>
        <w:jc w:val="left"/>
      </w:pPr>
      <w:r>
        <w:rPr>
          <w:rFonts w:ascii="Arial" w:cs="Arial" w:eastAsia="Arial" w:hAnsi="Arial"/>
          <w:b/>
          <w:bCs/>
          <w:color w:val="0D9488"/>
          <w:sz w:val="21"/>
          <w:szCs w:val="21"/>
        </w:rPr>
        <w:t xml:space="preserve">Layout:</w:t>
      </w:r>
      <w:r>
        <w:rPr>
          <w:rFonts w:ascii="Arial" w:cs="Arial" w:eastAsia="Arial" w:hAnsi="Arial"/>
          <w:color w:val="374151"/>
          <w:sz w:val="21"/>
          <w:szCs w:val="21"/>
        </w:rPr>
        <w:t xml:space="preserve">  Full-width dark background. Large centered text. Single CTA button.</w:t>
      </w:r>
    </w:p>
    <w:p>
      <w:pPr>
        <w:spacing w:after="120" w:before="0" w:line="276"/>
        <w:jc w:val="left"/>
      </w:pPr>
      <w:r>
        <w:rPr>
          <w:rFonts w:ascii="Arial" w:cs="Arial" w:eastAsia="Arial" w:hAnsi="Arial"/>
          <w:b/>
          <w:bCs/>
          <w:color w:val="0D9488"/>
          <w:sz w:val="21"/>
          <w:szCs w:val="21"/>
        </w:rPr>
        <w:t xml:space="preserve">Headline Options:</w:t>
      </w:r>
      <w:r>
        <w:rPr>
          <w:rFonts w:ascii="Arial" w:cs="Arial" w:eastAsia="Arial" w:hAnsi="Arial"/>
          <w:color w:val="374151"/>
          <w:sz w:val="21"/>
          <w:szCs w:val="21"/>
        </w:rPr>
        <w:t xml:space="preserve">  Consider one of these approaches:</w:t>
      </w:r>
    </w:p>
    <w:p>
      <w:pPr>
        <w:spacing w:after="40" w:before="80" w:line="276"/>
        <w:jc w:val="left"/>
      </w:pPr>
      <w:r>
        <w:rPr>
          <w:rFonts w:ascii="Arial" w:cs="Arial" w:eastAsia="Arial" w:hAnsi="Arial"/>
          <w:color w:val="374151"/>
          <w:sz w:val="22"/>
          <w:szCs w:val="22"/>
        </w:rPr>
        <w:t xml:space="preserve">• “Your health shouldn’t be a mystery.”</w:t>
      </w:r>
    </w:p>
    <w:p>
      <w:pPr>
        <w:spacing w:after="40" w:before="0" w:line="276"/>
        <w:jc w:val="left"/>
      </w:pPr>
      <w:r>
        <w:rPr>
          <w:rFonts w:ascii="Arial" w:cs="Arial" w:eastAsia="Arial" w:hAnsi="Arial"/>
          <w:color w:val="374151"/>
          <w:sz w:val="22"/>
          <w:szCs w:val="22"/>
        </w:rPr>
        <w:t xml:space="preserve">• “The best time to know was yesterday. The second best time is now.”</w:t>
      </w:r>
    </w:p>
    <w:p>
      <w:pPr>
        <w:spacing w:after="40" w:before="0" w:line="276"/>
        <w:jc w:val="left"/>
      </w:pPr>
      <w:r>
        <w:rPr>
          <w:rFonts w:ascii="Arial" w:cs="Arial" w:eastAsia="Arial" w:hAnsi="Arial"/>
          <w:color w:val="374151"/>
          <w:sz w:val="22"/>
          <w:szCs w:val="22"/>
        </w:rPr>
        <w:t xml:space="preserve">• “Built in Africa. For Africa. By Africans who refuse to wait.”</w:t>
      </w:r>
    </w:p>
    <w:p>
      <w:pPr>
        <w:spacing w:after="80" w:before="0" w:line="276"/>
        <w:jc w:val="left"/>
      </w:pPr>
      <w:r>
        <w:rPr>
          <w:rFonts w:ascii="Arial" w:cs="Arial" w:eastAsia="Arial" w:hAnsi="Arial"/>
          <w:color w:val="374151"/>
          <w:sz w:val="22"/>
          <w:szCs w:val="22"/>
        </w:rPr>
        <w:t xml:space="preserve">• “Preventable doesn’t mean inevitable.”</w:t>
      </w:r>
    </w:p>
    <w:p>
      <w:pPr>
        <w:spacing w:after="120" w:before="0" w:line="276"/>
        <w:jc w:val="left"/>
      </w:pPr>
      <w:r>
        <w:rPr>
          <w:rFonts w:ascii="Arial" w:cs="Arial" w:eastAsia="Arial" w:hAnsi="Arial"/>
          <w:b/>
          <w:bCs/>
          <w:color w:val="0D9488"/>
          <w:sz w:val="21"/>
          <w:szCs w:val="21"/>
        </w:rPr>
        <w:t xml:space="preserve">CTA:</w:t>
      </w:r>
      <w:r>
        <w:rPr>
          <w:rFonts w:ascii="Arial" w:cs="Arial" w:eastAsia="Arial" w:hAnsi="Arial"/>
          <w:color w:val="374151"/>
          <w:sz w:val="21"/>
          <w:szCs w:val="21"/>
        </w:rPr>
        <w:t xml:space="preserve">  “Start Your Health Check”</w:t>
      </w:r>
    </w:p>
    <w:p>
      <w:pPr>
        <w:pStyle w:val="Heading2"/>
        <w:spacing w:after="200" w:before="360"/>
      </w:pPr>
      <w:r>
        <w:rPr>
          <w:rFonts w:ascii="Arial" w:cs="Arial" w:eastAsia="Arial" w:hAnsi="Arial"/>
          <w:b/>
          <w:bCs/>
        </w:rPr>
        <w:t xml:space="preserve">Section 15: Footer</w:t>
      </w:r>
    </w:p>
    <w:p>
      <w:pPr>
        <w:spacing w:after="120" w:before="0" w:line="276"/>
        <w:jc w:val="left"/>
      </w:pPr>
      <w:r>
        <w:rPr>
          <w:rFonts w:ascii="Arial" w:cs="Arial" w:eastAsia="Arial" w:hAnsi="Arial"/>
          <w:b/>
          <w:bCs/>
          <w:color w:val="0D9488"/>
          <w:sz w:val="21"/>
          <w:szCs w:val="21"/>
        </w:rPr>
        <w:t xml:space="preserve">Content:</w:t>
      </w:r>
      <w:r>
        <w:rPr>
          <w:rFonts w:ascii="Arial" w:cs="Arial" w:eastAsia="Arial" w:hAnsi="Arial"/>
          <w:color w:val="374151"/>
          <w:sz w:val="21"/>
          <w:szCs w:val="21"/>
        </w:rPr>
        <w:t xml:space="preserve">  Logo, page links, social media (Instagram, Twitter/X, LinkedIn, WhatsApp), app store links (when ready), newsletter signup, legal links, “© 2026 BetterHealth Africa”</w:t>
      </w:r>
    </w:p>
    <w:p>
      <w:pPr>
        <w:spacing w:after="120" w:before="0" w:line="276"/>
        <w:jc w:val="left"/>
      </w:pPr>
      <w:r>
        <w:rPr>
          <w:rFonts w:ascii="Arial" w:cs="Arial" w:eastAsia="Arial" w:hAnsi="Arial"/>
          <w:b/>
          <w:bCs/>
          <w:color w:val="0D9488"/>
          <w:sz w:val="21"/>
          <w:szCs w:val="21"/>
        </w:rPr>
        <w:t xml:space="preserve">Design:</w:t>
      </w:r>
      <w:r>
        <w:rPr>
          <w:rFonts w:ascii="Arial" w:cs="Arial" w:eastAsia="Arial" w:hAnsi="Arial"/>
          <w:color w:val="374151"/>
          <w:sz w:val="21"/>
          <w:szCs w:val="21"/>
        </w:rPr>
        <w:t xml:space="preserve">  Dark background, clean grid layout. WhatsApp link should be prominent — it’s the primary support channel in Ghana.</w:t>
      </w:r>
    </w:p>
    <w:p>
      <w:r>
        <w:br w:type="page"/>
      </w:r>
    </w:p>
    <w:p>
      <w:pPr>
        <w:pStyle w:val="Heading1"/>
        <w:spacing w:after="200" w:before="360"/>
      </w:pPr>
      <w:r>
        <w:rPr>
          <w:rFonts w:ascii="Arial" w:cs="Arial" w:eastAsia="Arial" w:hAnsi="Arial"/>
          <w:b/>
          <w:bCs/>
        </w:rPr>
        <w:t xml:space="preserve">Part 5: Visual Design System Recommendations</w:t>
      </w:r>
    </w:p>
    <w:p>
      <w:pPr>
        <w:pStyle w:val="Heading2"/>
        <w:spacing w:after="200" w:before="360"/>
      </w:pPr>
      <w:r>
        <w:rPr>
          <w:rFonts w:ascii="Arial" w:cs="Arial" w:eastAsia="Arial" w:hAnsi="Arial"/>
          <w:b/>
          <w:bCs/>
        </w:rPr>
        <w:t xml:space="preserve">Typography</w:t>
      </w:r>
    </w:p>
    <w:p>
      <w:pPr>
        <w:spacing w:after="120" w:before="0" w:line="276"/>
        <w:jc w:val="left"/>
      </w:pPr>
      <w:r>
        <w:rPr>
          <w:rFonts w:ascii="Arial" w:cs="Arial" w:eastAsia="Arial" w:hAnsi="Arial"/>
          <w:b/>
          <w:bCs/>
          <w:color w:val="374151"/>
          <w:sz w:val="22"/>
          <w:szCs w:val="22"/>
        </w:rPr>
        <w:t xml:space="preserve">Display / Headlines: </w:t>
      </w:r>
      <w:r>
        <w:rPr>
          <w:rFonts w:ascii="Arial" w:cs="Arial" w:eastAsia="Arial" w:hAnsi="Arial"/>
          <w:color w:val="374151"/>
          <w:sz w:val="22"/>
          <w:szCs w:val="22"/>
        </w:rPr>
        <w:t xml:space="preserve">A distinctive display typeface like Plus Jakarta Sans, Cabinet Grotesk, or General Sans. Must feel modern, African-designed if possible, and command attention at large sizes.</w:t>
      </w:r>
    </w:p>
    <w:p>
      <w:pPr>
        <w:spacing w:after="120" w:before="0" w:line="276"/>
        <w:jc w:val="left"/>
      </w:pPr>
      <w:r>
        <w:rPr>
          <w:rFonts w:ascii="Arial" w:cs="Arial" w:eastAsia="Arial" w:hAnsi="Arial"/>
          <w:b/>
          <w:bCs/>
          <w:color w:val="374151"/>
          <w:sz w:val="22"/>
          <w:szCs w:val="22"/>
        </w:rPr>
        <w:t xml:space="preserve">Body: </w:t>
      </w:r>
      <w:r>
        <w:rPr>
          <w:rFonts w:ascii="Arial" w:cs="Arial" w:eastAsia="Arial" w:hAnsi="Arial"/>
          <w:color w:val="374151"/>
          <w:sz w:val="22"/>
          <w:szCs w:val="22"/>
        </w:rPr>
        <w:t xml:space="preserve">A clean sans-serif for readability. DM Sans, Outfit, or the display font at lighter weights.</w:t>
      </w:r>
    </w:p>
    <w:p>
      <w:pPr>
        <w:spacing w:after="120" w:before="0" w:line="276"/>
        <w:jc w:val="left"/>
      </w:pPr>
      <w:r>
        <w:rPr>
          <w:rFonts w:ascii="Arial" w:cs="Arial" w:eastAsia="Arial" w:hAnsi="Arial"/>
          <w:b/>
          <w:bCs/>
          <w:color w:val="374151"/>
          <w:sz w:val="22"/>
          <w:szCs w:val="22"/>
        </w:rPr>
        <w:t xml:space="preserve">Monospace / Data: </w:t>
      </w:r>
      <w:r>
        <w:rPr>
          <w:rFonts w:ascii="Arial" w:cs="Arial" w:eastAsia="Arial" w:hAnsi="Arial"/>
          <w:color w:val="374151"/>
          <w:sz w:val="22"/>
          <w:szCs w:val="22"/>
        </w:rPr>
        <w:t xml:space="preserve">JetBrains Mono or IBM Plex Mono for biomarker values and numerical data display.</w:t>
      </w:r>
    </w:p>
    <w:p>
      <w:pPr>
        <w:spacing w:after="120" w:before="0" w:line="276"/>
        <w:jc w:val="left"/>
      </w:pPr>
      <w:r>
        <w:rPr>
          <w:rFonts w:ascii="Arial" w:cs="Arial" w:eastAsia="Arial" w:hAnsi="Arial"/>
          <w:color w:val="374151"/>
          <w:sz w:val="22"/>
          <w:szCs w:val="22"/>
        </w:rPr>
        <w:t xml:space="preserve">The typography should feel confident but warm — not cold and clinical like a hospital website, but not casual like a lifestyle blog either.</w:t>
      </w:r>
    </w:p>
    <w:p>
      <w:pPr>
        <w:pStyle w:val="Heading2"/>
        <w:spacing w:after="200" w:before="360"/>
      </w:pPr>
      <w:r>
        <w:rPr>
          <w:rFonts w:ascii="Arial" w:cs="Arial" w:eastAsia="Arial" w:hAnsi="Arial"/>
          <w:b/>
          <w:bCs/>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Token</w:t>
            </w:r>
          </w:p>
        </w:tc>
        <w:tc>
          <w:tcPr>
            <w:tcW w:type="dxa" w:w="234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Hex</w:t>
            </w:r>
          </w:p>
        </w:tc>
        <w:tc>
          <w:tcPr>
            <w:tcW w:type="dxa" w:w="468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vAlign w:val="center"/>
          </w:tcPr>
          <w:p>
            <w:pPr>
              <w:spacing w:after="40" w:before="40"/>
            </w:pPr>
            <w:r>
              <w:rPr>
                <w:rFonts w:ascii="Arial" w:cs="Arial" w:eastAsia="Arial" w:hAnsi="Arial"/>
                <w:b/>
                <w:bCs/>
                <w:color w:val="FFFFFF"/>
                <w:sz w:val="20"/>
                <w:szCs w:val="20"/>
              </w:rPr>
              <w:t xml:space="preserve">Usage</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Primary Teal</w:t>
            </w:r>
          </w:p>
        </w:tc>
        <w:tc>
          <w:tcPr>
            <w:tcW w:type="dxa" w:w="234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#0D9488</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CTAs, links, active states, brand accent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Deep Navy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#1A1A2E</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Headlines, dark sections, footer</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Warm White</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#FAFAF9</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Page background (not pure white — too clinical)</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Success Green</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#22C55E</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Healthy/normal biomarker indicators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Warning Amber</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#F59E0B</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Borderline biomarker indicators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Alert Red</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#EF4444</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Critical/abnormal indicators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Text Primary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#1F2937</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Body copy</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b/>
                <w:bCs/>
                <w:color w:val="374151"/>
                <w:sz w:val="20"/>
                <w:szCs w:val="20"/>
              </w:rPr>
              <w:t xml:space="preserve">Text Secondary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#6B7280</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40" w:before="40"/>
            </w:pPr>
            <w:r>
              <w:rPr>
                <w:rFonts w:ascii="Arial" w:cs="Arial" w:eastAsia="Arial" w:hAnsi="Arial"/>
                <w:color w:val="374151"/>
                <w:sz w:val="20"/>
                <w:szCs w:val="20"/>
              </w:rPr>
              <w:t xml:space="preserve">Captions, labels, secondary info</w:t>
            </w:r>
          </w:p>
        </w:tc>
      </w:tr>
    </w:tbl>
    <w:p>
      <w:pPr>
        <w:pStyle w:val="Heading2"/>
        <w:spacing w:after="200" w:before="360"/>
      </w:pPr>
      <w:r>
        <w:rPr>
          <w:rFonts w:ascii="Arial" w:cs="Arial" w:eastAsia="Arial" w:hAnsi="Arial"/>
          <w:b/>
          <w:bCs/>
        </w:rPr>
        <w:t xml:space="preserve">Motion &amp; Animation</w:t>
      </w:r>
    </w:p>
    <w:p>
      <w:pPr>
        <w:spacing w:after="120" w:before="0" w:line="276"/>
        <w:jc w:val="left"/>
      </w:pPr>
      <w:r>
        <w:rPr>
          <w:rFonts w:ascii="Arial" w:cs="Arial" w:eastAsia="Arial" w:hAnsi="Arial"/>
          <w:color w:val="374151"/>
          <w:sz w:val="22"/>
          <w:szCs w:val="22"/>
        </w:rPr>
        <w:t xml:space="preserve">Every competitor uses scroll-triggered animations. This is now table stakes for a premium health brand website. The recommended approach:</w:t>
      </w:r>
    </w:p>
    <w:p>
      <w:pPr>
        <w:spacing w:after="120" w:before="0" w:line="276"/>
        <w:jc w:val="left"/>
      </w:pPr>
      <w:r>
        <w:rPr>
          <w:rFonts w:ascii="Arial" w:cs="Arial" w:eastAsia="Arial" w:hAnsi="Arial"/>
          <w:b/>
          <w:bCs/>
          <w:color w:val="374151"/>
          <w:sz w:val="22"/>
          <w:szCs w:val="22"/>
        </w:rPr>
        <w:t xml:space="preserve">Page Load: </w:t>
      </w:r>
      <w:r>
        <w:rPr>
          <w:rFonts w:ascii="Arial" w:cs="Arial" w:eastAsia="Arial" w:hAnsi="Arial"/>
          <w:color w:val="374151"/>
          <w:sz w:val="22"/>
          <w:szCs w:val="22"/>
        </w:rPr>
        <w:t xml:space="preserve">Hero text fades in, product mockup slides in from right with a spring easing</w:t>
      </w:r>
    </w:p>
    <w:p>
      <w:pPr>
        <w:spacing w:after="120" w:before="0" w:line="276"/>
        <w:jc w:val="left"/>
      </w:pPr>
      <w:r>
        <w:rPr>
          <w:rFonts w:ascii="Arial" w:cs="Arial" w:eastAsia="Arial" w:hAnsi="Arial"/>
          <w:b/>
          <w:bCs/>
          <w:color w:val="374151"/>
          <w:sz w:val="22"/>
          <w:szCs w:val="22"/>
        </w:rPr>
        <w:t xml:space="preserve">Scroll Reveals: </w:t>
      </w:r>
      <w:r>
        <w:rPr>
          <w:rFonts w:ascii="Arial" w:cs="Arial" w:eastAsia="Arial" w:hAnsi="Arial"/>
          <w:color w:val="374151"/>
          <w:sz w:val="22"/>
          <w:szCs w:val="22"/>
        </w:rPr>
        <w:t xml:space="preserve">Each section fades up (translateY: 30px → 0, opacity: 0 → 1) with 0.6s ease-out. Stagger child elements by 100ms</w:t>
      </w:r>
    </w:p>
    <w:p>
      <w:pPr>
        <w:spacing w:after="120" w:before="0" w:line="276"/>
        <w:jc w:val="left"/>
      </w:pPr>
      <w:r>
        <w:rPr>
          <w:rFonts w:ascii="Arial" w:cs="Arial" w:eastAsia="Arial" w:hAnsi="Arial"/>
          <w:b/>
          <w:bCs/>
          <w:color w:val="374151"/>
          <w:sz w:val="22"/>
          <w:szCs w:val="22"/>
        </w:rPr>
        <w:t xml:space="preserve">Marquees: </w:t>
      </w:r>
      <w:r>
        <w:rPr>
          <w:rFonts w:ascii="Arial" w:cs="Arial" w:eastAsia="Arial" w:hAnsi="Arial"/>
          <w:color w:val="374151"/>
          <w:sz w:val="22"/>
          <w:szCs w:val="22"/>
        </w:rPr>
        <w:t xml:space="preserve">Continuous CSS animation for condition detection and partner logo scrolling</w:t>
      </w:r>
    </w:p>
    <w:p>
      <w:pPr>
        <w:spacing w:after="120" w:before="0" w:line="276"/>
        <w:jc w:val="left"/>
      </w:pPr>
      <w:r>
        <w:rPr>
          <w:rFonts w:ascii="Arial" w:cs="Arial" w:eastAsia="Arial" w:hAnsi="Arial"/>
          <w:b/>
          <w:bCs/>
          <w:color w:val="374151"/>
          <w:sz w:val="22"/>
          <w:szCs w:val="22"/>
        </w:rPr>
        <w:t xml:space="preserve">Hover States: </w:t>
      </w:r>
      <w:r>
        <w:rPr>
          <w:rFonts w:ascii="Arial" w:cs="Arial" w:eastAsia="Arial" w:hAnsi="Arial"/>
          <w:color w:val="374151"/>
          <w:sz w:val="22"/>
          <w:szCs w:val="22"/>
        </w:rPr>
        <w:t xml:space="preserve">Subtle scale (1.02x) and shadow on cards. Color transitions on buttons</w:t>
      </w:r>
    </w:p>
    <w:p>
      <w:pPr>
        <w:spacing w:after="120" w:before="0" w:line="276"/>
        <w:jc w:val="left"/>
      </w:pPr>
      <w:r>
        <w:rPr>
          <w:rFonts w:ascii="Arial" w:cs="Arial" w:eastAsia="Arial" w:hAnsi="Arial"/>
          <w:b/>
          <w:bCs/>
          <w:color w:val="374151"/>
          <w:sz w:val="22"/>
          <w:szCs w:val="22"/>
        </w:rPr>
        <w:t xml:space="preserve">Counter Animations: </w:t>
      </w:r>
      <w:r>
        <w:rPr>
          <w:rFonts w:ascii="Arial" w:cs="Arial" w:eastAsia="Arial" w:hAnsi="Arial"/>
          <w:color w:val="374151"/>
          <w:sz w:val="22"/>
          <w:szCs w:val="22"/>
        </w:rPr>
        <w:t xml:space="preserve">Numbers count up when they scroll into view (100+ biomarkers, GHS X/day)</w:t>
      </w:r>
    </w:p>
    <w:p>
      <w:pPr>
        <w:spacing w:after="120" w:before="0" w:line="276"/>
        <w:jc w:val="left"/>
      </w:pPr>
      <w:r>
        <w:rPr>
          <w:rFonts w:ascii="Arial" w:cs="Arial" w:eastAsia="Arial" w:hAnsi="Arial"/>
          <w:b/>
          <w:bCs/>
          <w:color w:val="374151"/>
          <w:sz w:val="22"/>
          <w:szCs w:val="22"/>
        </w:rPr>
        <w:t xml:space="preserve">Dashboard Demo: </w:t>
      </w:r>
      <w:r>
        <w:rPr>
          <w:rFonts w:ascii="Arial" w:cs="Arial" w:eastAsia="Arial" w:hAnsi="Arial"/>
          <w:color w:val="374151"/>
          <w:sz w:val="22"/>
          <w:szCs w:val="22"/>
        </w:rPr>
        <w:t xml:space="preserve">Auto-playing video or animated sequence in phone mockup</w:t>
      </w:r>
    </w:p>
    <w:p>
      <w:pPr>
        <w:spacing w:after="120" w:before="0" w:line="276"/>
        <w:jc w:val="left"/>
      </w:pPr>
      <w:r>
        <w:rPr>
          <w:rFonts w:ascii="Arial" w:cs="Arial" w:eastAsia="Arial" w:hAnsi="Arial"/>
          <w:color w:val="374151"/>
          <w:sz w:val="22"/>
          <w:szCs w:val="22"/>
        </w:rPr>
        <w:t xml:space="preserve">Implementation: Framer Motion (if React/Next.js) or GSAP ScrollTrigger (if vanilla). Both competitors and BetterHealth’s app use React, so Framer Motion is the natural choice.</w:t>
      </w:r>
    </w:p>
    <w:p>
      <w:pPr>
        <w:pStyle w:val="Heading2"/>
        <w:spacing w:after="200" w:before="360"/>
      </w:pPr>
      <w:r>
        <w:rPr>
          <w:rFonts w:ascii="Arial" w:cs="Arial" w:eastAsia="Arial" w:hAnsi="Arial"/>
          <w:b/>
          <w:bCs/>
        </w:rPr>
        <w:t xml:space="preserve">Responsive Breakpoints</w:t>
      </w:r>
    </w:p>
    <w:p>
      <w:pPr>
        <w:spacing w:after="120" w:before="0" w:line="276"/>
        <w:jc w:val="left"/>
      </w:pPr>
      <w:r>
        <w:rPr>
          <w:rFonts w:ascii="Arial" w:cs="Arial" w:eastAsia="Arial" w:hAnsi="Arial"/>
          <w:color w:val="374151"/>
          <w:sz w:val="22"/>
          <w:szCs w:val="22"/>
        </w:rPr>
        <w:t xml:space="preserve">Mobile-first is non-negotiable. Over 70% of internet access in Ghana is via mobile. The site must be designed mobile-first, then scaled up.</w:t>
      </w:r>
    </w:p>
    <w:p>
      <w:pPr>
        <w:spacing w:after="120" w:before="0" w:line="276"/>
        <w:jc w:val="left"/>
      </w:pPr>
      <w:r>
        <w:rPr>
          <w:rFonts w:ascii="Arial" w:cs="Arial" w:eastAsia="Arial" w:hAnsi="Arial"/>
          <w:b/>
          <w:bCs/>
          <w:color w:val="374151"/>
          <w:sz w:val="22"/>
          <w:szCs w:val="22"/>
        </w:rPr>
        <w:t xml:space="preserve">Mobile: </w:t>
      </w:r>
      <w:r>
        <w:rPr>
          <w:rFonts w:ascii="Arial" w:cs="Arial" w:eastAsia="Arial" w:hAnsi="Arial"/>
          <w:color w:val="374151"/>
          <w:sz w:val="22"/>
          <w:szCs w:val="22"/>
        </w:rPr>
        <w:t xml:space="preserve">&lt; 768px — single column, stacked sections, hamburger nav, touch-optimized buttons (min 48px)</w:t>
      </w:r>
    </w:p>
    <w:p>
      <w:pPr>
        <w:spacing w:after="120" w:before="0" w:line="276"/>
        <w:jc w:val="left"/>
      </w:pPr>
      <w:r>
        <w:rPr>
          <w:rFonts w:ascii="Arial" w:cs="Arial" w:eastAsia="Arial" w:hAnsi="Arial"/>
          <w:b/>
          <w:bCs/>
          <w:color w:val="374151"/>
          <w:sz w:val="22"/>
          <w:szCs w:val="22"/>
        </w:rPr>
        <w:t xml:space="preserve">Tablet: </w:t>
      </w:r>
      <w:r>
        <w:rPr>
          <w:rFonts w:ascii="Arial" w:cs="Arial" w:eastAsia="Arial" w:hAnsi="Arial"/>
          <w:color w:val="374151"/>
          <w:sz w:val="22"/>
          <w:szCs w:val="22"/>
        </w:rPr>
        <w:t xml:space="preserve">768–1024px — 2-column layouts, visible nav</w:t>
      </w:r>
    </w:p>
    <w:p>
      <w:pPr>
        <w:spacing w:after="120" w:before="0" w:line="276"/>
        <w:jc w:val="left"/>
      </w:pPr>
      <w:r>
        <w:rPr>
          <w:rFonts w:ascii="Arial" w:cs="Arial" w:eastAsia="Arial" w:hAnsi="Arial"/>
          <w:b/>
          <w:bCs/>
          <w:color w:val="374151"/>
          <w:sz w:val="22"/>
          <w:szCs w:val="22"/>
        </w:rPr>
        <w:t xml:space="preserve">Desktop: </w:t>
      </w:r>
      <w:r>
        <w:rPr>
          <w:rFonts w:ascii="Arial" w:cs="Arial" w:eastAsia="Arial" w:hAnsi="Arial"/>
          <w:color w:val="374151"/>
          <w:sz w:val="22"/>
          <w:szCs w:val="22"/>
        </w:rPr>
        <w:t xml:space="preserve">1024px+ — full layout, max content width 1280px</w:t>
      </w:r>
    </w:p>
    <w:p>
      <w:r>
        <w:br w:type="page"/>
      </w:r>
    </w:p>
    <w:p>
      <w:pPr>
        <w:pStyle w:val="Heading1"/>
        <w:spacing w:after="200" w:before="360"/>
      </w:pPr>
      <w:r>
        <w:rPr>
          <w:rFonts w:ascii="Arial" w:cs="Arial" w:eastAsia="Arial" w:hAnsi="Arial"/>
          <w:b/>
          <w:bCs/>
        </w:rPr>
        <w:t xml:space="preserve">Part 6: Content Production Requirements</w:t>
      </w:r>
    </w:p>
    <w:p>
      <w:pPr>
        <w:spacing w:after="120" w:before="0" w:line="276"/>
        <w:jc w:val="left"/>
      </w:pPr>
      <w:r>
        <w:rPr>
          <w:rFonts w:ascii="Arial" w:cs="Arial" w:eastAsia="Arial" w:hAnsi="Arial"/>
          <w:color w:val="374151"/>
          <w:sz w:val="22"/>
          <w:szCs w:val="22"/>
        </w:rPr>
        <w:t xml:space="preserve">The website blueprint above requires specific content assets. Here is the production list, ordered by priority:</w:t>
      </w:r>
    </w:p>
    <w:p>
      <w:pPr>
        <w:pStyle w:val="Heading2"/>
        <w:spacing w:after="200" w:before="360"/>
      </w:pPr>
      <w:r>
        <w:rPr>
          <w:rFonts w:ascii="Arial" w:cs="Arial" w:eastAsia="Arial" w:hAnsi="Arial"/>
          <w:b/>
          <w:bCs/>
        </w:rPr>
        <w:t xml:space="preserve">Must Have Before Launch</w:t>
      </w:r>
    </w:p>
    <w:p>
      <w:pPr>
        <w:spacing w:after="120" w:before="0" w:line="276"/>
        <w:jc w:val="left"/>
      </w:pPr>
      <w:r>
        <w:rPr>
          <w:rFonts w:ascii="Arial" w:cs="Arial" w:eastAsia="Arial" w:hAnsi="Arial"/>
          <w:b/>
          <w:bCs/>
          <w:color w:val="374151"/>
          <w:sz w:val="22"/>
          <w:szCs w:val="22"/>
        </w:rPr>
        <w:t xml:space="preserve">1. Product Screenshots/Video: </w:t>
      </w:r>
      <w:r>
        <w:rPr>
          <w:rFonts w:ascii="Arial" w:cs="Arial" w:eastAsia="Arial" w:hAnsi="Arial"/>
          <w:color w:val="374151"/>
          <w:sz w:val="22"/>
          <w:szCs w:val="22"/>
        </w:rPr>
        <w:t xml:space="preserve">High-resolution screenshots of the actual BetterHealth health dashboard, biomarker results view, organ system view, and trend charts. Ideally a 30–60 second screen recording showing the app in action.</w:t>
      </w:r>
    </w:p>
    <w:p>
      <w:pPr>
        <w:spacing w:after="120" w:before="0" w:line="276"/>
        <w:jc w:val="left"/>
      </w:pPr>
      <w:r>
        <w:rPr>
          <w:rFonts w:ascii="Arial" w:cs="Arial" w:eastAsia="Arial" w:hAnsi="Arial"/>
          <w:b/>
          <w:bCs/>
          <w:color w:val="374151"/>
          <w:sz w:val="22"/>
          <w:szCs w:val="22"/>
        </w:rPr>
        <w:t xml:space="preserve">2. Founder Photo + Story: </w:t>
      </w:r>
      <w:r>
        <w:rPr>
          <w:rFonts w:ascii="Arial" w:cs="Arial" w:eastAsia="Arial" w:hAnsi="Arial"/>
          <w:color w:val="374151"/>
          <w:sz w:val="22"/>
          <w:szCs w:val="22"/>
        </w:rPr>
        <w:t xml:space="preserve">Professional headshot of Damzi. 200–300 word first-person narrative about why BetterHealth exists.</w:t>
      </w:r>
    </w:p>
    <w:p>
      <w:pPr>
        <w:spacing w:after="120" w:before="0" w:line="276"/>
        <w:jc w:val="left"/>
      </w:pPr>
      <w:r>
        <w:rPr>
          <w:rFonts w:ascii="Arial" w:cs="Arial" w:eastAsia="Arial" w:hAnsi="Arial"/>
          <w:b/>
          <w:bCs/>
          <w:color w:val="374151"/>
          <w:sz w:val="22"/>
          <w:szCs w:val="22"/>
        </w:rPr>
        <w:t xml:space="preserve">3. Home Collection Photos: </w:t>
      </w:r>
      <w:r>
        <w:rPr>
          <w:rFonts w:ascii="Arial" w:cs="Arial" w:eastAsia="Arial" w:hAnsi="Arial"/>
          <w:color w:val="374151"/>
          <w:sz w:val="22"/>
          <w:szCs w:val="22"/>
        </w:rPr>
        <w:t xml:space="preserve">2–3 photos of the actual home collection experience. A phlebotomist at a patient’s home, the sample collection process, the kit.</w:t>
      </w:r>
    </w:p>
    <w:p>
      <w:pPr>
        <w:spacing w:after="120" w:before="0" w:line="276"/>
        <w:jc w:val="left"/>
      </w:pPr>
      <w:r>
        <w:rPr>
          <w:rFonts w:ascii="Arial" w:cs="Arial" w:eastAsia="Arial" w:hAnsi="Arial"/>
          <w:b/>
          <w:bCs/>
          <w:color w:val="374151"/>
          <w:sz w:val="22"/>
          <w:szCs w:val="22"/>
        </w:rPr>
        <w:t xml:space="preserve">4. Partner Logos: </w:t>
      </w:r>
      <w:r>
        <w:rPr>
          <w:rFonts w:ascii="Arial" w:cs="Arial" w:eastAsia="Arial" w:hAnsi="Arial"/>
          <w:color w:val="374151"/>
          <w:sz w:val="22"/>
          <w:szCs w:val="22"/>
        </w:rPr>
        <w:t xml:space="preserve">Lab Access Ghana logo, Paystack logo, any certifications.</w:t>
      </w:r>
    </w:p>
    <w:p>
      <w:pPr>
        <w:spacing w:after="120" w:before="0" w:line="276"/>
        <w:jc w:val="left"/>
      </w:pPr>
      <w:r>
        <w:rPr>
          <w:rFonts w:ascii="Arial" w:cs="Arial" w:eastAsia="Arial" w:hAnsi="Arial"/>
          <w:b/>
          <w:bCs/>
          <w:color w:val="374151"/>
          <w:sz w:val="22"/>
          <w:szCs w:val="22"/>
        </w:rPr>
        <w:t xml:space="preserve">5. Pricing Decision: </w:t>
      </w:r>
      <w:r>
        <w:rPr>
          <w:rFonts w:ascii="Arial" w:cs="Arial" w:eastAsia="Arial" w:hAnsi="Arial"/>
          <w:color w:val="374151"/>
          <w:sz w:val="22"/>
          <w:szCs w:val="22"/>
        </w:rPr>
        <w:t xml:space="preserve">Final confirmed prices for all three subscription tiers.</w:t>
      </w:r>
    </w:p>
    <w:p>
      <w:pPr>
        <w:pStyle w:val="Heading2"/>
        <w:spacing w:after="200" w:before="360"/>
      </w:pPr>
      <w:r>
        <w:rPr>
          <w:rFonts w:ascii="Arial" w:cs="Arial" w:eastAsia="Arial" w:hAnsi="Arial"/>
          <w:b/>
          <w:bCs/>
        </w:rPr>
        <w:t xml:space="preserve">Should Have Within 30 Days</w:t>
      </w:r>
    </w:p>
    <w:p>
      <w:pPr>
        <w:spacing w:after="120" w:before="0" w:line="276"/>
        <w:jc w:val="left"/>
      </w:pPr>
      <w:r>
        <w:rPr>
          <w:rFonts w:ascii="Arial" w:cs="Arial" w:eastAsia="Arial" w:hAnsi="Arial"/>
          <w:b/>
          <w:bCs/>
          <w:color w:val="374151"/>
          <w:sz w:val="22"/>
          <w:szCs w:val="22"/>
        </w:rPr>
        <w:t xml:space="preserve">6. Patient Testimonials: </w:t>
      </w:r>
      <w:r>
        <w:rPr>
          <w:rFonts w:ascii="Arial" w:cs="Arial" w:eastAsia="Arial" w:hAnsi="Arial"/>
          <w:color w:val="374151"/>
          <w:sz w:val="22"/>
          <w:szCs w:val="22"/>
        </w:rPr>
        <w:t xml:space="preserve">3–5 beta user stories with photos and consent. Even text-only testimonials with first name and a profile photo work.</w:t>
      </w:r>
    </w:p>
    <w:p>
      <w:pPr>
        <w:spacing w:after="120" w:before="0" w:line="276"/>
        <w:jc w:val="left"/>
      </w:pPr>
      <w:r>
        <w:rPr>
          <w:rFonts w:ascii="Arial" w:cs="Arial" w:eastAsia="Arial" w:hAnsi="Arial"/>
          <w:b/>
          <w:bCs/>
          <w:color w:val="374151"/>
          <w:sz w:val="22"/>
          <w:szCs w:val="22"/>
        </w:rPr>
        <w:t xml:space="preserve">7. Medical Team Photos: </w:t>
      </w:r>
      <w:r>
        <w:rPr>
          <w:rFonts w:ascii="Arial" w:cs="Arial" w:eastAsia="Arial" w:hAnsi="Arial"/>
          <w:color w:val="374151"/>
          <w:sz w:val="22"/>
          <w:szCs w:val="22"/>
        </w:rPr>
        <w:t xml:space="preserve">Headshots and credentials of any doctors, lab scientists, or advisors involved.</w:t>
      </w:r>
    </w:p>
    <w:p>
      <w:pPr>
        <w:spacing w:after="120" w:before="0" w:line="276"/>
        <w:jc w:val="left"/>
      </w:pPr>
      <w:r>
        <w:rPr>
          <w:rFonts w:ascii="Arial" w:cs="Arial" w:eastAsia="Arial" w:hAnsi="Arial"/>
          <w:b/>
          <w:bCs/>
          <w:color w:val="374151"/>
          <w:sz w:val="22"/>
          <w:szCs w:val="22"/>
        </w:rPr>
        <w:t xml:space="preserve">8. Video Testimonials: </w:t>
      </w:r>
      <w:r>
        <w:rPr>
          <w:rFonts w:ascii="Arial" w:cs="Arial" w:eastAsia="Arial" w:hAnsi="Arial"/>
          <w:color w:val="374151"/>
          <w:sz w:val="22"/>
          <w:szCs w:val="22"/>
        </w:rPr>
        <w:t xml:space="preserve">60–90 second phone-recorded videos from 2–3 beta users sharing their experience. Authenticity matters more than production quality.</w:t>
      </w:r>
    </w:p>
    <w:p>
      <w:pPr>
        <w:pStyle w:val="Heading2"/>
        <w:spacing w:after="200" w:before="360"/>
      </w:pPr>
      <w:r>
        <w:rPr>
          <w:rFonts w:ascii="Arial" w:cs="Arial" w:eastAsia="Arial" w:hAnsi="Arial"/>
          <w:b/>
          <w:bCs/>
        </w:rPr>
        <w:t xml:space="preserve">Nice to Have for V2</w:t>
      </w:r>
    </w:p>
    <w:p>
      <w:pPr>
        <w:spacing w:after="120" w:before="0" w:line="276"/>
        <w:jc w:val="left"/>
      </w:pPr>
      <w:r>
        <w:rPr>
          <w:rFonts w:ascii="Arial" w:cs="Arial" w:eastAsia="Arial" w:hAnsi="Arial"/>
          <w:b/>
          <w:bCs/>
          <w:color w:val="374151"/>
          <w:sz w:val="22"/>
          <w:szCs w:val="22"/>
        </w:rPr>
        <w:t xml:space="preserve">9. Lab Tour Video: </w:t>
      </w:r>
      <w:r>
        <w:rPr>
          <w:rFonts w:ascii="Arial" w:cs="Arial" w:eastAsia="Arial" w:hAnsi="Arial"/>
          <w:color w:val="374151"/>
          <w:sz w:val="22"/>
          <w:szCs w:val="22"/>
        </w:rPr>
        <w:t xml:space="preserve">30-second walkthrough of the partner lab facility. Builds trust.</w:t>
      </w:r>
    </w:p>
    <w:p>
      <w:pPr>
        <w:spacing w:after="120" w:before="0" w:line="276"/>
        <w:jc w:val="left"/>
      </w:pPr>
      <w:r>
        <w:rPr>
          <w:rFonts w:ascii="Arial" w:cs="Arial" w:eastAsia="Arial" w:hAnsi="Arial"/>
          <w:b/>
          <w:bCs/>
          <w:color w:val="374151"/>
          <w:sz w:val="22"/>
          <w:szCs w:val="22"/>
        </w:rPr>
        <w:t xml:space="preserve">10. Media Features: </w:t>
      </w:r>
      <w:r>
        <w:rPr>
          <w:rFonts w:ascii="Arial" w:cs="Arial" w:eastAsia="Arial" w:hAnsi="Arial"/>
          <w:color w:val="374151"/>
          <w:sz w:val="22"/>
          <w:szCs w:val="22"/>
        </w:rPr>
        <w:t xml:space="preserve">Any press coverage, podcast appearances, or media mentions for the logo bar.</w:t>
      </w:r>
    </w:p>
    <w:p>
      <w:pPr>
        <w:spacing w:after="120" w:before="0" w:line="276"/>
        <w:jc w:val="left"/>
      </w:pPr>
      <w:r>
        <w:rPr>
          <w:rFonts w:ascii="Arial" w:cs="Arial" w:eastAsia="Arial" w:hAnsi="Arial"/>
          <w:b/>
          <w:bCs/>
          <w:color w:val="374151"/>
          <w:sz w:val="22"/>
          <w:szCs w:val="22"/>
        </w:rPr>
        <w:t xml:space="preserve">11. Health Education Videos: </w:t>
      </w:r>
      <w:r>
        <w:rPr>
          <w:rFonts w:ascii="Arial" w:cs="Arial" w:eastAsia="Arial" w:hAnsi="Arial"/>
          <w:color w:val="374151"/>
          <w:sz w:val="22"/>
          <w:szCs w:val="22"/>
        </w:rPr>
        <w:t xml:space="preserve">Short explainer videos about common conditions (diabetes awareness, sickle cell screening, etc.) for the blog/content section.</w:t>
      </w:r>
    </w:p>
    <w:p>
      <w:r>
        <w:br w:type="page"/>
      </w:r>
    </w:p>
    <w:p>
      <w:pPr>
        <w:pStyle w:val="Heading1"/>
        <w:spacing w:after="200" w:before="360"/>
      </w:pPr>
      <w:r>
        <w:rPr>
          <w:rFonts w:ascii="Arial" w:cs="Arial" w:eastAsia="Arial" w:hAnsi="Arial"/>
          <w:b/>
          <w:bCs/>
        </w:rPr>
        <w:t xml:space="preserve">Part 7: Technical Implementation Recommendations</w:t>
      </w:r>
    </w:p>
    <w:p>
      <w:pPr>
        <w:spacing w:after="120" w:before="0" w:line="276"/>
        <w:jc w:val="left"/>
      </w:pPr>
      <w:r>
        <w:rPr>
          <w:rFonts w:ascii="Arial" w:cs="Arial" w:eastAsia="Arial" w:hAnsi="Arial"/>
          <w:color w:val="374151"/>
          <w:sz w:val="22"/>
          <w:szCs w:val="22"/>
        </w:rPr>
        <w:t xml:space="preserve">The marketing website should be separate from the app (app.betterhealth.africa). This is how all four competitors operate — their marketing sites are static/SSG sites with fast load times, while their apps are separate SPAs behind authentication.</w:t>
      </w:r>
    </w:p>
    <w:p>
      <w:pPr>
        <w:pStyle w:val="Heading2"/>
        <w:spacing w:after="200" w:before="360"/>
      </w:pPr>
      <w:r>
        <w:rPr>
          <w:rFonts w:ascii="Arial" w:cs="Arial" w:eastAsia="Arial" w:hAnsi="Arial"/>
          <w:b/>
          <w:bCs/>
        </w:rPr>
        <w:t xml:space="preserve">Recommended Stack</w:t>
      </w:r>
    </w:p>
    <w:p>
      <w:pPr>
        <w:spacing w:after="120" w:before="0" w:line="276"/>
        <w:jc w:val="left"/>
      </w:pPr>
      <w:r>
        <w:rPr>
          <w:rFonts w:ascii="Arial" w:cs="Arial" w:eastAsia="Arial" w:hAnsi="Arial"/>
          <w:b/>
          <w:bCs/>
          <w:color w:val="374151"/>
          <w:sz w:val="22"/>
          <w:szCs w:val="22"/>
        </w:rPr>
        <w:t xml:space="preserve">Framework: </w:t>
      </w:r>
      <w:r>
        <w:rPr>
          <w:rFonts w:ascii="Arial" w:cs="Arial" w:eastAsia="Arial" w:hAnsi="Arial"/>
          <w:color w:val="374151"/>
          <w:sz w:val="22"/>
          <w:szCs w:val="22"/>
        </w:rPr>
        <w:t xml:space="preserve">Next.js (App Router) or Astro — both offer SSG for fast loading, which is critical in Ghana where many users are on 3G/4G. Astro is simpler if the site is purely marketing content; Next.js is better if you want interactive React components (like the biomarker explorer).</w:t>
      </w:r>
    </w:p>
    <w:p>
      <w:pPr>
        <w:spacing w:after="120" w:before="0" w:line="276"/>
        <w:jc w:val="left"/>
      </w:pPr>
      <w:r>
        <w:rPr>
          <w:rFonts w:ascii="Arial" w:cs="Arial" w:eastAsia="Arial" w:hAnsi="Arial"/>
          <w:b/>
          <w:bCs/>
          <w:color w:val="374151"/>
          <w:sz w:val="22"/>
          <w:szCs w:val="22"/>
        </w:rPr>
        <w:t xml:space="preserve">Styling: </w:t>
      </w:r>
      <w:r>
        <w:rPr>
          <w:rFonts w:ascii="Arial" w:cs="Arial" w:eastAsia="Arial" w:hAnsi="Arial"/>
          <w:color w:val="374151"/>
          <w:sz w:val="22"/>
          <w:szCs w:val="22"/>
        </w:rPr>
        <w:t xml:space="preserve">Tailwind CSS — consistent with BetterHealth’s existing app stack.</w:t>
      </w:r>
    </w:p>
    <w:p>
      <w:pPr>
        <w:spacing w:after="120" w:before="0" w:line="276"/>
        <w:jc w:val="left"/>
      </w:pPr>
      <w:r>
        <w:rPr>
          <w:rFonts w:ascii="Arial" w:cs="Arial" w:eastAsia="Arial" w:hAnsi="Arial"/>
          <w:b/>
          <w:bCs/>
          <w:color w:val="374151"/>
          <w:sz w:val="22"/>
          <w:szCs w:val="22"/>
        </w:rPr>
        <w:t xml:space="preserve">Animation: </w:t>
      </w:r>
      <w:r>
        <w:rPr>
          <w:rFonts w:ascii="Arial" w:cs="Arial" w:eastAsia="Arial" w:hAnsi="Arial"/>
          <w:color w:val="374151"/>
          <w:sz w:val="22"/>
          <w:szCs w:val="22"/>
        </w:rPr>
        <w:t xml:space="preserve">Framer Motion for scroll reveals and micro-interactions.</w:t>
      </w:r>
    </w:p>
    <w:p>
      <w:pPr>
        <w:spacing w:after="120" w:before="0" w:line="276"/>
        <w:jc w:val="left"/>
      </w:pPr>
      <w:r>
        <w:rPr>
          <w:rFonts w:ascii="Arial" w:cs="Arial" w:eastAsia="Arial" w:hAnsi="Arial"/>
          <w:b/>
          <w:bCs/>
          <w:color w:val="374151"/>
          <w:sz w:val="22"/>
          <w:szCs w:val="22"/>
        </w:rPr>
        <w:t xml:space="preserve">CMS: </w:t>
      </w:r>
      <w:r>
        <w:rPr>
          <w:rFonts w:ascii="Arial" w:cs="Arial" w:eastAsia="Arial" w:hAnsi="Arial"/>
          <w:color w:val="374151"/>
          <w:sz w:val="22"/>
          <w:szCs w:val="22"/>
        </w:rPr>
        <w:t xml:space="preserve">Sanity or Contentful for blog posts and testimonials — allows non-technical team members to update content.</w:t>
      </w:r>
    </w:p>
    <w:p>
      <w:pPr>
        <w:spacing w:after="120" w:before="0" w:line="276"/>
        <w:jc w:val="left"/>
      </w:pPr>
      <w:r>
        <w:rPr>
          <w:rFonts w:ascii="Arial" w:cs="Arial" w:eastAsia="Arial" w:hAnsi="Arial"/>
          <w:b/>
          <w:bCs/>
          <w:color w:val="374151"/>
          <w:sz w:val="22"/>
          <w:szCs w:val="22"/>
        </w:rPr>
        <w:t xml:space="preserve">Hosting: </w:t>
      </w:r>
      <w:r>
        <w:rPr>
          <w:rFonts w:ascii="Arial" w:cs="Arial" w:eastAsia="Arial" w:hAnsi="Arial"/>
          <w:color w:val="374151"/>
          <w:sz w:val="22"/>
          <w:szCs w:val="22"/>
        </w:rPr>
        <w:t xml:space="preserve">Vercel (pairs with Next.js) or Cloudflare Pages (for edge performance in Africa).</w:t>
      </w:r>
    </w:p>
    <w:p>
      <w:pPr>
        <w:spacing w:after="120" w:before="0" w:line="276"/>
        <w:jc w:val="left"/>
      </w:pPr>
      <w:r>
        <w:rPr>
          <w:rFonts w:ascii="Arial" w:cs="Arial" w:eastAsia="Arial" w:hAnsi="Arial"/>
          <w:b/>
          <w:bCs/>
          <w:color w:val="374151"/>
          <w:sz w:val="22"/>
          <w:szCs w:val="22"/>
        </w:rPr>
        <w:t xml:space="preserve">Analytics: </w:t>
      </w:r>
      <w:r>
        <w:rPr>
          <w:rFonts w:ascii="Arial" w:cs="Arial" w:eastAsia="Arial" w:hAnsi="Arial"/>
          <w:color w:val="374151"/>
          <w:sz w:val="22"/>
          <w:szCs w:val="22"/>
        </w:rPr>
        <w:t xml:space="preserve">Plausible or PostHog — privacy-focused, lightweight, no cookie banner required.</w:t>
      </w:r>
    </w:p>
    <w:p>
      <w:pPr>
        <w:spacing w:after="120" w:before="0" w:line="276"/>
        <w:jc w:val="left"/>
      </w:pPr>
      <w:r>
        <w:rPr>
          <w:rFonts w:ascii="Arial" w:cs="Arial" w:eastAsia="Arial" w:hAnsi="Arial"/>
          <w:b/>
          <w:bCs/>
          <w:color w:val="374151"/>
          <w:sz w:val="22"/>
          <w:szCs w:val="22"/>
        </w:rPr>
        <w:t xml:space="preserve">Domain: </w:t>
      </w:r>
      <w:r>
        <w:rPr>
          <w:rFonts w:ascii="Arial" w:cs="Arial" w:eastAsia="Arial" w:hAnsi="Arial"/>
          <w:color w:val="374151"/>
          <w:sz w:val="22"/>
          <w:szCs w:val="22"/>
        </w:rPr>
        <w:t xml:space="preserve">betterhealth.africa (marketing) | app.betterhealth.africa (product)</w:t>
      </w:r>
    </w:p>
    <w:p>
      <w:pPr>
        <w:pStyle w:val="Heading2"/>
        <w:spacing w:after="200" w:before="360"/>
      </w:pPr>
      <w:r>
        <w:rPr>
          <w:rFonts w:ascii="Arial" w:cs="Arial" w:eastAsia="Arial" w:hAnsi="Arial"/>
          <w:b/>
          <w:bCs/>
        </w:rPr>
        <w:t xml:space="preserve">Performance Targets</w:t>
      </w:r>
    </w:p>
    <w:p>
      <w:pPr>
        <w:spacing w:after="120" w:before="0" w:line="276"/>
        <w:jc w:val="left"/>
      </w:pPr>
      <w:r>
        <w:rPr>
          <w:rFonts w:ascii="Arial" w:cs="Arial" w:eastAsia="Arial" w:hAnsi="Arial"/>
          <w:color w:val="374151"/>
          <w:sz w:val="22"/>
          <w:szCs w:val="22"/>
        </w:rPr>
        <w:t xml:space="preserve">Given that the target audience is primarily on mobile in Ghana, performance is a feature:</w:t>
      </w:r>
    </w:p>
    <w:p>
      <w:pPr>
        <w:spacing w:after="120" w:before="0" w:line="276"/>
        <w:jc w:val="left"/>
      </w:pPr>
      <w:r>
        <w:rPr>
          <w:rFonts w:ascii="Arial" w:cs="Arial" w:eastAsia="Arial" w:hAnsi="Arial"/>
          <w:b/>
          <w:bCs/>
          <w:color w:val="374151"/>
          <w:sz w:val="22"/>
          <w:szCs w:val="22"/>
        </w:rPr>
        <w:t xml:space="preserve">First Contentful Paint: </w:t>
      </w:r>
      <w:r>
        <w:rPr>
          <w:rFonts w:ascii="Arial" w:cs="Arial" w:eastAsia="Arial" w:hAnsi="Arial"/>
          <w:color w:val="374151"/>
          <w:sz w:val="22"/>
          <w:szCs w:val="22"/>
        </w:rPr>
        <w:t xml:space="preserve">&lt; 1.5 seconds</w:t>
      </w:r>
    </w:p>
    <w:p>
      <w:pPr>
        <w:spacing w:after="120" w:before="0" w:line="276"/>
        <w:jc w:val="left"/>
      </w:pPr>
      <w:r>
        <w:rPr>
          <w:rFonts w:ascii="Arial" w:cs="Arial" w:eastAsia="Arial" w:hAnsi="Arial"/>
          <w:b/>
          <w:bCs/>
          <w:color w:val="374151"/>
          <w:sz w:val="22"/>
          <w:szCs w:val="22"/>
        </w:rPr>
        <w:t xml:space="preserve">Largest Contentful Paint: </w:t>
      </w:r>
      <w:r>
        <w:rPr>
          <w:rFonts w:ascii="Arial" w:cs="Arial" w:eastAsia="Arial" w:hAnsi="Arial"/>
          <w:color w:val="374151"/>
          <w:sz w:val="22"/>
          <w:szCs w:val="22"/>
        </w:rPr>
        <w:t xml:space="preserve">&lt; 2.5 seconds</w:t>
      </w:r>
    </w:p>
    <w:p>
      <w:pPr>
        <w:spacing w:after="120" w:before="0" w:line="276"/>
        <w:jc w:val="left"/>
      </w:pPr>
      <w:r>
        <w:rPr>
          <w:rFonts w:ascii="Arial" w:cs="Arial" w:eastAsia="Arial" w:hAnsi="Arial"/>
          <w:b/>
          <w:bCs/>
          <w:color w:val="374151"/>
          <w:sz w:val="22"/>
          <w:szCs w:val="22"/>
        </w:rPr>
        <w:t xml:space="preserve">Total Page Weight: </w:t>
      </w:r>
      <w:r>
        <w:rPr>
          <w:rFonts w:ascii="Arial" w:cs="Arial" w:eastAsia="Arial" w:hAnsi="Arial"/>
          <w:color w:val="374151"/>
          <w:sz w:val="22"/>
          <w:szCs w:val="22"/>
        </w:rPr>
        <w:t xml:space="preserve">&lt; 1.5 MB on initial load (lazy load everything below the fold)</w:t>
      </w:r>
    </w:p>
    <w:p>
      <w:pPr>
        <w:spacing w:after="120" w:before="0" w:line="276"/>
        <w:jc w:val="left"/>
      </w:pPr>
      <w:r>
        <w:rPr>
          <w:rFonts w:ascii="Arial" w:cs="Arial" w:eastAsia="Arial" w:hAnsi="Arial"/>
          <w:b/>
          <w:bCs/>
          <w:color w:val="374151"/>
          <w:sz w:val="22"/>
          <w:szCs w:val="22"/>
        </w:rPr>
        <w:t xml:space="preserve">Core Web Vitals: </w:t>
      </w:r>
      <w:r>
        <w:rPr>
          <w:rFonts w:ascii="Arial" w:cs="Arial" w:eastAsia="Arial" w:hAnsi="Arial"/>
          <w:color w:val="374151"/>
          <w:sz w:val="22"/>
          <w:szCs w:val="22"/>
        </w:rPr>
        <w:t xml:space="preserve">All green</w:t>
      </w:r>
    </w:p>
    <w:p>
      <w:pPr>
        <w:spacing w:after="120" w:before="0" w:line="276"/>
        <w:jc w:val="left"/>
      </w:pPr>
      <w:r>
        <w:rPr>
          <w:rFonts w:ascii="Arial" w:cs="Arial" w:eastAsia="Arial" w:hAnsi="Arial"/>
          <w:b/>
          <w:bCs/>
          <w:color w:val="374151"/>
          <w:sz w:val="22"/>
          <w:szCs w:val="22"/>
        </w:rPr>
        <w:t xml:space="preserve">Image Format: </w:t>
      </w:r>
      <w:r>
        <w:rPr>
          <w:rFonts w:ascii="Arial" w:cs="Arial" w:eastAsia="Arial" w:hAnsi="Arial"/>
          <w:color w:val="374151"/>
          <w:sz w:val="22"/>
          <w:szCs w:val="22"/>
        </w:rPr>
        <w:t xml:space="preserve">WebP with JPEG fallback. Use next/image for automatic optimization.</w:t>
      </w:r>
    </w:p>
    <w:p>
      <w:pPr>
        <w:spacing w:after="120" w:before="0" w:line="276"/>
        <w:jc w:val="left"/>
      </w:pPr>
      <w:r>
        <w:rPr>
          <w:rFonts w:ascii="Arial" w:cs="Arial" w:eastAsia="Arial" w:hAnsi="Arial"/>
          <w:b/>
          <w:bCs/>
          <w:color w:val="374151"/>
          <w:sz w:val="22"/>
          <w:szCs w:val="22"/>
        </w:rPr>
        <w:t xml:space="preserve">Video: </w:t>
      </w:r>
      <w:r>
        <w:rPr>
          <w:rFonts w:ascii="Arial" w:cs="Arial" w:eastAsia="Arial" w:hAnsi="Arial"/>
          <w:color w:val="374151"/>
          <w:sz w:val="22"/>
          <w:szCs w:val="22"/>
        </w:rPr>
        <w:t xml:space="preserve">Lazy-loaded, poster images shown before play. Consider reducing quality for mobile.</w:t>
      </w:r>
    </w:p>
    <w:p>
      <w:pPr>
        <w:pBdr>
          <w:bottom w:val="single" w:color="0D9488" w:sz="2" w:space="8"/>
        </w:pBdr>
        <w:spacing w:after="100" w:before="100"/>
      </w:pPr>
    </w:p>
    <w:p>
      <w:pPr>
        <w:pStyle w:val="Heading1"/>
        <w:spacing w:after="200" w:before="360"/>
      </w:pPr>
      <w:r>
        <w:rPr>
          <w:rFonts w:ascii="Arial" w:cs="Arial" w:eastAsia="Arial" w:hAnsi="Arial"/>
          <w:b/>
          <w:bCs/>
        </w:rPr>
        <w:t xml:space="preserve">Next Steps</w:t>
      </w:r>
    </w:p>
    <w:p>
      <w:pPr>
        <w:spacing w:after="120" w:before="0" w:line="276"/>
        <w:jc w:val="left"/>
      </w:pPr>
      <w:r>
        <w:rPr>
          <w:rFonts w:ascii="Arial" w:cs="Arial" w:eastAsia="Arial" w:hAnsi="Arial"/>
          <w:color w:val="374151"/>
          <w:sz w:val="22"/>
          <w:szCs w:val="22"/>
        </w:rPr>
        <w:t xml:space="preserve">Here is the recommended sequence for bringing this website to life:</w:t>
      </w:r>
    </w:p>
    <w:p>
      <w:pPr>
        <w:pStyle w:val="ListParagraph"/>
        <w:numPr>
          <w:ilvl w:val="0"/>
          <w:numId w:val="2"/>
        </w:numPr>
        <w:spacing w:after="80" w:before="80" w:line="276"/>
      </w:pPr>
      <w:r>
        <w:rPr>
          <w:rFonts w:ascii="Arial" w:cs="Arial" w:eastAsia="Arial" w:hAnsi="Arial"/>
          <w:b/>
          <w:bCs/>
          <w:sz w:val="22"/>
          <w:szCs w:val="22"/>
        </w:rPr>
        <w:t xml:space="preserve">Content Production Sprint: </w:t>
      </w:r>
      <w:r>
        <w:rPr>
          <w:rFonts w:ascii="Arial" w:cs="Arial" w:eastAsia="Arial" w:hAnsi="Arial"/>
          <w:sz w:val="22"/>
          <w:szCs w:val="22"/>
        </w:rPr>
        <w:t xml:space="preserve">Gather the must-have assets (product screenshots, founder photo, partner logos, pricing). This is the blocker for everything else.</w:t>
      </w:r>
    </w:p>
    <w:p>
      <w:pPr>
        <w:pStyle w:val="ListParagraph"/>
        <w:numPr>
          <w:ilvl w:val="0"/>
          <w:numId w:val="2"/>
        </w:numPr>
        <w:spacing w:after="80" w:before="80" w:line="276"/>
      </w:pPr>
      <w:r>
        <w:rPr>
          <w:rFonts w:ascii="Arial" w:cs="Arial" w:eastAsia="Arial" w:hAnsi="Arial"/>
          <w:b/>
          <w:bCs/>
          <w:sz w:val="22"/>
          <w:szCs w:val="22"/>
        </w:rPr>
        <w:t xml:space="preserve">Design Mockups: </w:t>
      </w:r>
      <w:r>
        <w:rPr>
          <w:rFonts w:ascii="Arial" w:cs="Arial" w:eastAsia="Arial" w:hAnsi="Arial"/>
          <w:sz w:val="22"/>
          <w:szCs w:val="22"/>
        </w:rPr>
        <w:t xml:space="preserve">Create high-fidelity Figma mockups for the homepage, mobile and desktop. This document serves as the design brief.</w:t>
      </w:r>
    </w:p>
    <w:p>
      <w:pPr>
        <w:pStyle w:val="ListParagraph"/>
        <w:numPr>
          <w:ilvl w:val="0"/>
          <w:numId w:val="2"/>
        </w:numPr>
        <w:spacing w:after="80" w:before="80" w:line="276"/>
      </w:pPr>
      <w:r>
        <w:rPr>
          <w:rFonts w:ascii="Arial" w:cs="Arial" w:eastAsia="Arial" w:hAnsi="Arial"/>
          <w:b/>
          <w:bCs/>
          <w:sz w:val="22"/>
          <w:szCs w:val="22"/>
        </w:rPr>
        <w:t xml:space="preserve">Build: </w:t>
      </w:r>
      <w:r>
        <w:rPr>
          <w:rFonts w:ascii="Arial" w:cs="Arial" w:eastAsia="Arial" w:hAnsi="Arial"/>
          <w:sz w:val="22"/>
          <w:szCs w:val="22"/>
        </w:rPr>
        <w:t xml:space="preserve">Implement the homepage first. Ship it. Then build out secondary pages iteratively.</w:t>
      </w:r>
    </w:p>
    <w:p>
      <w:pPr>
        <w:pStyle w:val="ListParagraph"/>
        <w:numPr>
          <w:ilvl w:val="0"/>
          <w:numId w:val="2"/>
        </w:numPr>
        <w:spacing w:after="80" w:before="80" w:line="276"/>
      </w:pPr>
      <w:r>
        <w:rPr>
          <w:rFonts w:ascii="Arial" w:cs="Arial" w:eastAsia="Arial" w:hAnsi="Arial"/>
          <w:b/>
          <w:bCs/>
          <w:sz w:val="22"/>
          <w:szCs w:val="22"/>
        </w:rPr>
        <w:t xml:space="preserve">Test: </w:t>
      </w:r>
      <w:r>
        <w:rPr>
          <w:rFonts w:ascii="Arial" w:cs="Arial" w:eastAsia="Arial" w:hAnsi="Arial"/>
          <w:sz w:val="22"/>
          <w:szCs w:val="22"/>
        </w:rPr>
        <w:t xml:space="preserve">Test on MTN and Vodafone 4G in Accra. If the site loads fast and looks great on a GHS 800 Android phone, it will work everywhere.</w:t>
      </w:r>
    </w:p>
    <w:p>
      <w:pPr>
        <w:pStyle w:val="ListParagraph"/>
        <w:numPr>
          <w:ilvl w:val="0"/>
          <w:numId w:val="2"/>
        </w:numPr>
        <w:spacing w:after="80" w:before="80" w:line="276"/>
      </w:pPr>
      <w:r>
        <w:rPr>
          <w:rFonts w:ascii="Arial" w:cs="Arial" w:eastAsia="Arial" w:hAnsi="Arial"/>
          <w:b/>
          <w:bCs/>
          <w:sz w:val="22"/>
          <w:szCs w:val="22"/>
        </w:rPr>
        <w:t xml:space="preserve">Iterate: </w:t>
      </w:r>
      <w:r>
        <w:rPr>
          <w:rFonts w:ascii="Arial" w:cs="Arial" w:eastAsia="Arial" w:hAnsi="Arial"/>
          <w:sz w:val="22"/>
          <w:szCs w:val="22"/>
        </w:rPr>
        <w:t xml:space="preserve">Add testimonials, video content, and the blog as they become available. The site should grow with the product.</w:t>
      </w:r>
    </w:p>
    <w:p>
      <w:pPr>
        <w:spacing w:before="400"/>
      </w:pPr>
    </w:p>
    <w:p>
      <w:pPr>
        <w:pBdr>
          <w:bottom w:val="single" w:color="0D9488" w:sz="2" w:space="8"/>
        </w:pBdr>
        <w:spacing w:after="100" w:before="100"/>
      </w:pPr>
    </w:p>
    <w:p>
      <w:pPr>
        <w:spacing w:after="100" w:before="200"/>
        <w:jc w:val="center"/>
      </w:pPr>
      <w:r>
        <w:rPr>
          <w:rFonts w:ascii="Arial" w:cs="Arial" w:eastAsia="Arial" w:hAnsi="Arial"/>
          <w:b/>
          <w:bCs/>
          <w:i/>
          <w:iCs/>
          <w:color w:val="6B7280"/>
          <w:sz w:val="22"/>
          <w:szCs w:val="22"/>
        </w:rPr>
        <w:t xml:space="preserve">End of Document</w:t>
      </w:r>
    </w:p>
    <w:p>
      <w:pPr>
        <w:spacing w:after="100"/>
        <w:jc w:val="center"/>
      </w:pPr>
      <w:r>
        <w:rPr>
          <w:rFonts w:ascii="Arial" w:cs="Arial" w:eastAsia="Arial" w:hAnsi="Arial"/>
          <w:color w:val="6B7280"/>
          <w:sz w:val="20"/>
          <w:szCs w:val="20"/>
        </w:rPr>
        <w:t xml:space="preserve">BetterHealth Africa — Website Strategy &amp; Competitive Analysis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0D9488"/>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2026-03-31T08:11:23.101Z</dcterms:created>
  <dcterms:modified xsi:type="dcterms:W3CDTF">2026-03-31T08:11:23.102Z</dcterms:modified>
</cp:coreProperties>
</file>

<file path=docProps/custom.xml><?xml version="1.0" encoding="utf-8"?>
<Properties xmlns="http://schemas.openxmlformats.org/officeDocument/2006/custom-properties" xmlns:vt="http://schemas.openxmlformats.org/officeDocument/2006/docPropsVTypes"/>
</file>