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ron-freight-driver-rest-policy"/>
    <w:p>
      <w:pPr>
        <w:pStyle w:val="Heading1"/>
      </w:pPr>
      <w:r>
        <w:t xml:space="preserve">Heron Freight driver rest policy</w:t>
      </w:r>
    </w:p>
    <w:p>
      <w:pPr>
        <w:pStyle w:val="FirstParagraph"/>
      </w:pPr>
      <w:r>
        <w:t xml:space="preserve">Effective 1 March 2026. A driver may drive at most 9 hours in a shift and must take</w:t>
      </w:r>
      <w:r>
        <w:t xml:space="preserve"> </w:t>
      </w:r>
      <w:r>
        <w:t xml:space="preserve">a 45-minute break after 4.5 hours of driving. Two consecutive night shifts are the</w:t>
      </w:r>
      <w:r>
        <w:t xml:space="preserve"> </w:t>
      </w:r>
      <w:r>
        <w:t xml:space="preserve">maximum; a third needs written approval from the depot manager. Breaches are</w:t>
      </w:r>
      <w:r>
        <w:t xml:space="preserve"> </w:t>
      </w:r>
      <w:r>
        <w:t xml:space="preserve">reported to the safety officer, Priya Anand, within 24 hours.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2026-09-25T15:50:05Z</dcterms:created>
  <dcterms:modified xsi:type="dcterms:W3CDTF">2026-09-25T15:50:05Z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