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val="false"/>
          <w:bCs w:val="false"/>
          <w:color w:val="1F2430"/>
          <w:sz w:val="44"/>
          <w:szCs w:val="44"/>
        </w:rPr>
        <w:t xml:space="preserve">LTI Tutor for Instructional Designers</w:t>
      </w:r>
    </w:p>
    <w:p>
      <w:pPr>
        <w:spacing w:after="320" w:line="300"/>
      </w:pPr>
      <w:r>
        <w:rPr>
          <w:rFonts w:ascii="Calibri" w:cs="Calibri" w:eastAsia="Calibri" w:hAnsi="Calibri"/>
          <w:color w:val="5D6474"/>
          <w:sz w:val="24"/>
          <w:szCs w:val="24"/>
        </w:rPr>
        <w:t xml:space="preserve">A note for TRU Open Learning IDs on what this tool is, how it sits inside a course design, and where it stands on the questions we all have about generative AI in courses.</w:t>
      </w:r>
    </w:p>
    <w:p>
      <w:pPr>
        <w:spacing w:after="160" w:line="300"/>
      </w:pPr>
      <w:r>
        <w:rPr>
          <w:rFonts w:ascii="Calibri" w:cs="Calibri" w:eastAsia="Calibri" w:hAnsi="Calibri"/>
          <w:sz w:val="22"/>
          <w:szCs w:val="22"/>
        </w:rPr>
        <w:t xml:space="preserve">Most GenAI tools offered to education generate content. This one is built on the opposite premise. It asks questions, following a brief the course author writes, and it draws only on the materials the course gives it. The learner does the thinking; the instructor keeps the authority; nothing it produces is a grade, a lesson or a submission. This guide takes that premise seriously, including where it falls short.</w:t>
      </w:r>
    </w:p>
    <w:p>
      <w:pPr>
        <w:pStyle w:val="Heading1"/>
        <w:pBdr>
          <w:top w:val="single" w:color="D9D5CB" w:sz="4" w:space="8"/>
        </w:pBdr>
        <w:spacing w:after="160" w:before="420"/>
      </w:pPr>
      <w:r>
        <w:rPr>
          <w:rFonts w:ascii="Calibri" w:cs="Calibri" w:eastAsia="Calibri" w:hAnsi="Calibri"/>
          <w:b/>
          <w:bCs/>
          <w:color w:val="1F2430"/>
          <w:sz w:val="30"/>
          <w:szCs w:val="30"/>
        </w:rPr>
        <w:t xml:space="preserve">1. What it is, in design terms</w:t>
      </w:r>
    </w:p>
    <w:p>
      <w:pPr>
        <w:spacing w:after="160" w:line="300"/>
      </w:pPr>
      <w:r>
        <w:rPr>
          <w:rFonts w:ascii="Calibri" w:cs="Calibri" w:eastAsia="Calibri" w:hAnsi="Calibri"/>
          <w:sz w:val="22"/>
          <w:szCs w:val="22"/>
        </w:rPr>
        <w:t xml:space="preserve">LTI Tutor runs short, staged, one-on-one conversations inside Moodle. The design unit is the </w:t>
      </w:r>
      <w:r>
        <w:rPr>
          <w:rFonts w:ascii="Calibri" w:cs="Calibri" w:eastAsia="Calibri" w:hAnsi="Calibri"/>
          <w:b/>
          <w:bCs/>
          <w:sz w:val="22"/>
          <w:szCs w:val="22"/>
        </w:rPr>
        <w:t xml:space="preserve">brief</w:t>
      </w:r>
      <w:r>
        <w:rPr>
          <w:rFonts w:ascii="Calibri" w:cs="Calibri" w:eastAsia="Calibri" w:hAnsi="Calibri"/>
          <w:sz w:val="22"/>
          <w:szCs w:val="22"/>
        </w:rPr>
        <w:t xml:space="preserve">: a page of plain prose the course author (or you, with them) writes, in the voice of notes to a good teaching assistant. A learning goal, an opening question, the three to five probes to work through, the misconceptions to listen for, and what "got it" sounds like. The tutor follows the brief; the brief is reviewable, versionable text, not a prompt buried in a product.</w:t>
      </w:r>
    </w:p>
    <w:p>
      <w:pPr>
        <w:spacing w:after="160" w:line="300"/>
      </w:pPr>
      <w:r>
        <w:rPr>
          <w:rFonts w:ascii="Calibri" w:cs="Calibri" w:eastAsia="Calibri" w:hAnsi="Calibri"/>
          <w:sz w:val="22"/>
          <w:szCs w:val="22"/>
        </w:rPr>
        <w:t xml:space="preserve">The conversational shape comes from Pask's conversation theory, by way of Paski: understanding is confirmed when it survives being explained back. Every kind of session ends with the learner producing something in their own words, and the summary records that, not a score.</w:t>
      </w:r>
    </w:p>
    <w:p>
      <w:pPr>
        <w:spacing w:after="160" w:line="300"/>
      </w:pPr>
      <w:r>
        <w:rPr>
          <w:rFonts w:ascii="Calibri" w:cs="Calibri" w:eastAsia="Calibri" w:hAnsi="Calibri"/>
          <w:sz w:val="22"/>
          <w:szCs w:val="22"/>
        </w:rPr>
        <w:t xml:space="preserve">There are seven kinds of session, each a different conversational shape with its own rules and its own summary fields. They map onto TRU's engagement types rather than onto a product category.</w:t>
      </w:r>
    </w:p>
    <w:tbl>
      <w:tblPr>
        <w:tblW w:type="dxa" w:w="9360"/>
        <w:tblBorders>
          <w:top w:val="single" w:color="D9D5CB" w:sz="4"/>
          <w:left w:val="none" w:sz="0"/>
          <w:bottom w:val="single" w:color="D9D5CB" w:sz="4"/>
          <w:right w:val="none" w:sz="0"/>
          <w:insideH w:val="single" w:color="D9D5CB" w:sz="4"/>
          <w:insideV w:val="none" w:sz="0"/>
        </w:tblBorders>
      </w:tblPr>
      <w:tblGrid>
        <w:gridCol w:w="1900"/>
        <w:gridCol w:w="1500"/>
        <w:gridCol w:w="5960"/>
      </w:tblGrid>
      <w:tr>
        <w:trPr>
          <w:tblHeader/>
        </w:trPr>
        <w:tc>
          <w:tcPr>
            <w:tcW w:type="dxa" w:w="1900"/>
            <w:shd w:fill="F1EFE9" w:color="auto" w:val="clear"/>
            <w:tcMar>
              <w:top w:type="dxa" w:w="90"/>
              <w:left w:type="dxa" w:w="120"/>
              <w:bottom w:type="dxa" w:w="90"/>
              <w:right w:type="dxa" w:w="120"/>
            </w:tcMar>
          </w:tcPr>
          <w:p>
            <w:pPr>
              <w:spacing w:after="0" w:line="276"/>
            </w:pPr>
            <w:r>
              <w:rPr>
                <w:rFonts w:ascii="Calibri" w:cs="Calibri" w:eastAsia="Calibri" w:hAnsi="Calibri"/>
                <w:b/>
                <w:bCs/>
                <w:color w:val="5D6474"/>
                <w:spacing w:val="12"/>
                <w:sz w:val="16"/>
                <w:szCs w:val="16"/>
              </w:rPr>
              <w:t xml:space="preserve">KIND</w:t>
            </w:r>
          </w:p>
        </w:tc>
        <w:tc>
          <w:tcPr>
            <w:tcW w:type="dxa" w:w="1500"/>
            <w:shd w:fill="F1EFE9" w:color="auto" w:val="clear"/>
            <w:tcMar>
              <w:top w:type="dxa" w:w="90"/>
              <w:left w:type="dxa" w:w="120"/>
              <w:bottom w:type="dxa" w:w="90"/>
              <w:right w:type="dxa" w:w="120"/>
            </w:tcMar>
          </w:tcPr>
          <w:p>
            <w:pPr>
              <w:spacing w:after="0" w:line="276"/>
            </w:pPr>
            <w:r>
              <w:rPr>
                <w:rFonts w:ascii="Calibri" w:cs="Calibri" w:eastAsia="Calibri" w:hAnsi="Calibri"/>
                <w:b/>
                <w:bCs/>
                <w:color w:val="5D6474"/>
                <w:spacing w:val="12"/>
                <w:sz w:val="16"/>
                <w:szCs w:val="16"/>
              </w:rPr>
              <w:t xml:space="preserve">ENGAGEMENT TYPE</w:t>
            </w:r>
          </w:p>
        </w:tc>
        <w:tc>
          <w:tcPr>
            <w:tcW w:type="dxa" w:w="5960"/>
            <w:shd w:fill="F1EFE9" w:color="auto" w:val="clear"/>
            <w:tcMar>
              <w:top w:type="dxa" w:w="90"/>
              <w:left w:type="dxa" w:w="120"/>
              <w:bottom w:type="dxa" w:w="90"/>
              <w:right w:type="dxa" w:w="120"/>
            </w:tcMar>
          </w:tcPr>
          <w:p>
            <w:pPr>
              <w:spacing w:after="0" w:line="276"/>
            </w:pPr>
            <w:r>
              <w:rPr>
                <w:rFonts w:ascii="Calibri" w:cs="Calibri" w:eastAsia="Calibri" w:hAnsi="Calibri"/>
                <w:b/>
                <w:bCs/>
                <w:color w:val="5D6474"/>
                <w:spacing w:val="12"/>
                <w:sz w:val="16"/>
                <w:szCs w:val="16"/>
              </w:rPr>
              <w:t xml:space="preserve">SHAPE</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Readiness check</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1, 2</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Diagnostic before a unit. Misconceptions are noted, not corrected; the wrap-up says what to watch for.</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Preparation check</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3</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After a reading: recount the key ideas, connect one. A learner who has not read is told so kindly.</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Tutorial</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4, 5</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Orient, explore, teach it back, wrap up. The core Socratic pattern.</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Practice</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6, 9</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Feedback on a draft or attempt against the author's criteria. Two strengths, one thing to improve, a revision. Never a mark.</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Reflection</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7</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Metacognition after a unit: what was hard, what worked, one concrete change.</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Recall</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8</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Retrieve earlier learning from memory, then connect it to the current unit. The learner model supplies what has faded.</w:t>
            </w:r>
          </w:p>
        </w:tc>
      </w:tr>
      <w:tr>
        <w:tc>
          <w:tcPr>
            <w:tcW w:type="dxa" w:w="1900"/>
            <w:tcMar>
              <w:top w:type="dxa" w:w="90"/>
              <w:left w:type="dxa" w:w="120"/>
              <w:bottom w:type="dxa" w:w="90"/>
              <w:right w:type="dxa" w:w="120"/>
            </w:tcMar>
          </w:tcPr>
          <w:p>
            <w:pPr>
              <w:spacing w:after="0" w:line="276"/>
            </w:pPr>
            <w:r>
              <w:rPr>
                <w:rFonts w:ascii="Calibri" w:cs="Calibri" w:eastAsia="Calibri" w:hAnsi="Calibri"/>
                <w:b/>
                <w:bCs/>
                <w:sz w:val="20"/>
                <w:szCs w:val="20"/>
              </w:rPr>
              <w:t xml:space="preserve">Assignment start</w:t>
            </w:r>
          </w:p>
        </w:tc>
        <w:tc>
          <w:tcPr>
            <w:tcW w:type="dxa" w:w="150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4, 9</w:t>
            </w:r>
          </w:p>
        </w:tc>
        <w:tc>
          <w:tcPr>
            <w:tcW w:type="dxa" w:w="5960"/>
            <w:tcMar>
              <w:top w:type="dxa" w:w="90"/>
              <w:left w:type="dxa" w:w="120"/>
              <w:bottom w:type="dxa" w:w="90"/>
              <w:right w:type="dxa" w:w="120"/>
            </w:tcMar>
          </w:tcPr>
          <w:p>
            <w:pPr>
              <w:spacing w:after="0" w:line="276"/>
            </w:pPr>
            <w:r>
              <w:rPr>
                <w:rFonts w:ascii="Calibri" w:cs="Calibri" w:eastAsia="Calibri" w:hAnsi="Calibri"/>
                <w:b w:val="false"/>
                <w:bCs w:val="false"/>
                <w:sz w:val="20"/>
                <w:szCs w:val="20"/>
              </w:rPr>
              <w:t xml:space="preserve">Unpack the task, connect it to the readings and the unit's own activities, plan, take the first step out loud. Nothing it produces is submittable.</w:t>
            </w:r>
          </w:p>
        </w:tc>
      </w:tr>
    </w:tbl>
    <w:p>
      <w:pPr>
        <w:spacing w:after="120"/>
      </w:pPr>
    </w:p>
    <w:p>
      <w:pPr>
        <w:pStyle w:val="Heading1"/>
        <w:pBdr>
          <w:top w:val="single" w:color="D9D5CB" w:sz="4" w:space="8"/>
        </w:pBdr>
        <w:spacing w:after="160" w:before="420"/>
      </w:pPr>
      <w:r>
        <w:rPr>
          <w:rFonts w:ascii="Calibri" w:cs="Calibri" w:eastAsia="Calibri" w:hAnsi="Calibri"/>
          <w:b/>
          <w:bCs/>
          <w:color w:val="1F2430"/>
          <w:sz w:val="30"/>
          <w:szCs w:val="30"/>
        </w:rPr>
        <w:t xml:space="preserve">2. Where it fits in a course</w:t>
      </w:r>
    </w:p>
    <w:p>
      <w:pPr>
        <w:spacing w:after="160" w:line="300"/>
      </w:pPr>
      <w:r>
        <w:rPr>
          <w:rFonts w:ascii="Calibri" w:cs="Calibri" w:eastAsia="Calibri" w:hAnsi="Calibri"/>
          <w:sz w:val="22"/>
          <w:szCs w:val="22"/>
        </w:rPr>
        <w:t xml:space="preserve">Three design facts matter more than any feature.</w:t>
      </w:r>
    </w:p>
    <w:p>
      <w:pPr>
        <w:spacing w:after="160" w:line="300"/>
      </w:pPr>
      <w:r>
        <w:rPr>
          <w:rFonts w:ascii="Calibri" w:cs="Calibri" w:eastAsia="Calibri" w:hAnsi="Calibri"/>
          <w:b/>
          <w:bCs/>
          <w:sz w:val="22"/>
          <w:szCs w:val="22"/>
        </w:rPr>
        <w:t xml:space="preserve">It follows the delivery mode.</w:t>
      </w:r>
      <w:r>
        <w:rPr>
          <w:rFonts w:ascii="Calibri" w:cs="Calibri" w:eastAsia="Calibri" w:hAnsi="Calibri"/>
          <w:sz w:val="22"/>
          <w:szCs w:val="22"/>
        </w:rPr>
        <w:t xml:space="preserve"> A course is set to its TRUFlex mode once, and every session's wording keys on what the course actually has: live sessions, a cohort, fixed dates. A self-paced, continuous-entry course never hears "before class" or "your classmates" and gets no date-based nudges; a paced course gets weekly grouping and "the cohort has moved on" reminders. The same deployment serves all ten modes, and docs/ALIGNMENT.md in the repository lists every wording switch.</w:t>
      </w:r>
    </w:p>
    <w:p>
      <w:pPr>
        <w:spacing w:after="160" w:line="300"/>
      </w:pPr>
      <w:r>
        <w:rPr>
          <w:rFonts w:ascii="Calibri" w:cs="Calibri" w:eastAsia="Calibri" w:hAnsi="Calibri"/>
          <w:b/>
          <w:bCs/>
          <w:sz w:val="22"/>
          <w:szCs w:val="22"/>
        </w:rPr>
        <w:t xml:space="preserve">It lives in the sequence, not beside it.</w:t>
      </w:r>
      <w:r>
        <w:rPr>
          <w:rFonts w:ascii="Calibri" w:cs="Calibri" w:eastAsia="Calibri" w:hAnsi="Calibri"/>
          <w:sz w:val="22"/>
          <w:szCs w:val="22"/>
        </w:rPr>
        <w:t xml:space="preserve"> Each session is placed as its own Moodle activity through deep linking: under the reading, after the lecture, beneath the assignment. Completion can post to the gradebook as 1/1; the content of the conversation never does. Nothing is locked; the course's own restrict-access rules do that if wanted.</w:t>
      </w:r>
    </w:p>
    <w:p>
      <w:pPr>
        <w:spacing w:after="160" w:line="300"/>
      </w:pPr>
      <w:r>
        <w:rPr>
          <w:rFonts w:ascii="Calibri" w:cs="Calibri" w:eastAsia="Calibri" w:hAnsi="Calibri"/>
          <w:b/>
          <w:bCs/>
          <w:sz w:val="22"/>
          <w:szCs w:val="22"/>
        </w:rPr>
        <w:t xml:space="preserve">It draws only on what the course gives it.</w:t>
      </w:r>
      <w:r>
        <w:rPr>
          <w:rFonts w:ascii="Calibri" w:cs="Calibri" w:eastAsia="Calibri" w:hAnsi="Calibri"/>
          <w:sz w:val="22"/>
          <w:szCs w:val="22"/>
        </w:rPr>
        <w:t xml:space="preserve"> Materials come from the course: a Moodle backup import brings the units in with their text, readings, activities and assignments, each marked for what it is. The course's own activity and study questions become the tutor's probes before it invents any. An assignment description is treated as the task, never as a source to teach from. If a session has no materials, the tutor is working from general knowledge, and the editor says so.</w:t>
      </w:r>
    </w:p>
    <w:p>
      <w:pPr>
        <w:pStyle w:val="Heading1"/>
        <w:pBdr>
          <w:top w:val="single" w:color="D9D5CB" w:sz="4" w:space="8"/>
        </w:pBdr>
        <w:spacing w:after="160" w:before="420"/>
      </w:pPr>
      <w:r>
        <w:rPr>
          <w:rFonts w:ascii="Calibri" w:cs="Calibri" w:eastAsia="Calibri" w:hAnsi="Calibri"/>
          <w:b/>
          <w:bCs/>
          <w:color w:val="1F2430"/>
          <w:sz w:val="30"/>
          <w:szCs w:val="30"/>
        </w:rPr>
        <w:t xml:space="preserve">3. The GenAI questions, answered plainly</w:t>
      </w:r>
    </w:p>
    <w:p>
      <w:pPr>
        <w:spacing w:after="160" w:line="300"/>
      </w:pPr>
      <w:r>
        <w:rPr>
          <w:rFonts w:ascii="Calibri" w:cs="Calibri" w:eastAsia="Calibri" w:hAnsi="Calibri"/>
          <w:sz w:val="22"/>
          <w:szCs w:val="22"/>
        </w:rPr>
        <w:t xml:space="preserve">These are the questions IDs and OLFMs have asked, or should. The answers are what the tool does, not what we hope it does, and each names the limit.</w:t>
      </w:r>
    </w:p>
    <w:p>
      <w:pPr>
        <w:keepNext/>
        <w:spacing w:after="60" w:before="220"/>
      </w:pPr>
      <w:r>
        <w:rPr>
          <w:rFonts w:ascii="Calibri" w:cs="Calibri" w:eastAsia="Calibri" w:hAnsi="Calibri"/>
          <w:b/>
          <w:bCs/>
          <w:sz w:val="22"/>
          <w:szCs w:val="22"/>
        </w:rPr>
        <w:t xml:space="preserve">Will it make things up?</w:t>
      </w:r>
    </w:p>
    <w:p>
      <w:pPr>
        <w:spacing w:after="160" w:line="300"/>
      </w:pPr>
      <w:r>
        <w:rPr>
          <w:rFonts w:ascii="Calibri" w:cs="Calibri" w:eastAsia="Calibri" w:hAnsi="Calibri"/>
          <w:sz w:val="22"/>
          <w:szCs w:val="22"/>
        </w:rPr>
        <w:t xml:space="preserve">Less than a chatbot, and not never. Every session is grounded in the materials attached to it, the rules require it to name the material and passage it is drawing on, and its job is to ask rather than to explain, which leaves less room to be wrong. It can still misread a passage or overreach. The disclosure every learner sees says it can be wrong and that the course materials and the instructor are the authority. Reviewing the brief and trying the session as a student before publishing is where the author catches the rest.</w:t>
      </w:r>
    </w:p>
    <w:p>
      <w:pPr>
        <w:keepNext/>
        <w:spacing w:after="60" w:before="220"/>
      </w:pPr>
      <w:r>
        <w:rPr>
          <w:rFonts w:ascii="Calibri" w:cs="Calibri" w:eastAsia="Calibri" w:hAnsi="Calibri"/>
          <w:b/>
          <w:bCs/>
          <w:sz w:val="22"/>
          <w:szCs w:val="22"/>
        </w:rPr>
        <w:t xml:space="preserve">Will it do the learners' work for them?</w:t>
      </w:r>
    </w:p>
    <w:p>
      <w:pPr>
        <w:spacing w:after="160" w:line="300"/>
      </w:pPr>
      <w:r>
        <w:rPr>
          <w:rFonts w:ascii="Calibri" w:cs="Calibri" w:eastAsia="Calibri" w:hAnsi="Calibri"/>
          <w:sz w:val="22"/>
          <w:szCs w:val="22"/>
        </w:rPr>
        <w:t xml:space="preserve">It is designed not to. One question per turn; no answers the learner could reach themselves; practice sessions give feedback and refuse to grade; assignment-start sessions are forbidden from writing any part of the assignment, say so on screen, and decline if asked. The summary the instructor sees records what the learner said and did, so a session in which the learner did no thinking is visible as such. What it cannot stop is a learner pasting the tutor's questions into another AI; nothing can.</w:t>
      </w:r>
    </w:p>
    <w:p>
      <w:pPr>
        <w:keepNext/>
        <w:spacing w:after="60" w:before="220"/>
      </w:pPr>
      <w:r>
        <w:rPr>
          <w:rFonts w:ascii="Calibri" w:cs="Calibri" w:eastAsia="Calibri" w:hAnsi="Calibri"/>
          <w:b/>
          <w:bCs/>
          <w:sz w:val="22"/>
          <w:szCs w:val="22"/>
        </w:rPr>
        <w:t xml:space="preserve">Will it replace the course author's judgement?</w:t>
      </w:r>
    </w:p>
    <w:p>
      <w:pPr>
        <w:spacing w:after="160" w:line="300"/>
      </w:pPr>
      <w:r>
        <w:rPr>
          <w:rFonts w:ascii="Calibri" w:cs="Calibri" w:eastAsia="Calibri" w:hAnsi="Calibri"/>
          <w:sz w:val="22"/>
          <w:szCs w:val="22"/>
        </w:rPr>
        <w:t xml:space="preserve">The brief is theirs. "Draft it with AI" writes a first version from their materials, in their voice, which they edit the way they would edit a TA's notes. The parts that most need a human are the probes and the "got it" criteria, and the guide tells authors to spend their ten minutes there. If a brief is published unread, that is a workflow failure the tool makes easy to avoid, not impossible.</w:t>
      </w:r>
    </w:p>
    <w:p>
      <w:pPr>
        <w:keepNext/>
        <w:spacing w:after="60" w:before="220"/>
      </w:pPr>
      <w:r>
        <w:rPr>
          <w:rFonts w:ascii="Calibri" w:cs="Calibri" w:eastAsia="Calibri" w:hAnsi="Calibri"/>
          <w:b/>
          <w:bCs/>
          <w:sz w:val="22"/>
          <w:szCs w:val="22"/>
        </w:rPr>
        <w:t xml:space="preserve">What happens to learners' data?</w:t>
      </w:r>
    </w:p>
    <w:p>
      <w:pPr>
        <w:spacing w:after="160" w:line="300"/>
      </w:pPr>
      <w:r>
        <w:rPr>
          <w:rFonts w:ascii="Calibri" w:cs="Calibri" w:eastAsia="Calibri" w:hAnsi="Calibri"/>
          <w:sz w:val="22"/>
          <w:szCs w:val="22"/>
        </w:rPr>
        <w:t xml:space="preserve">The tool keeps the text of each session, a short summary, the learner's own "my learning" record, their ratings, and anything they type under "about you". The instructor sees summaries with names and course-wide patterns, never the learner's "about you" or "my learning". Learners can delete everything about themselves from inside the tool. Retention is a setting (indefinite by default for the pilot; a number of days in production). The course backup import reads course structure and content only: no users, grades, submissions or posts, and the file is deleted once read.</w:t>
      </w:r>
    </w:p>
    <w:p>
      <w:pPr>
        <w:keepNext/>
        <w:spacing w:after="60" w:before="220"/>
      </w:pPr>
      <w:r>
        <w:rPr>
          <w:rFonts w:ascii="Calibri" w:cs="Calibri" w:eastAsia="Calibri" w:hAnsi="Calibri"/>
          <w:b/>
          <w:bCs/>
          <w:sz w:val="22"/>
          <w:szCs w:val="22"/>
        </w:rPr>
        <w:t xml:space="preserve">Where does the data go?</w:t>
      </w:r>
    </w:p>
    <w:p>
      <w:pPr>
        <w:spacing w:after="160" w:line="300"/>
      </w:pPr>
      <w:r>
        <w:rPr>
          <w:rFonts w:ascii="Calibri" w:cs="Calibri" w:eastAsia="Calibri" w:hAnsi="Calibri"/>
          <w:sz w:val="22"/>
          <w:szCs w:val="22"/>
        </w:rPr>
        <w:t xml:space="preserve">The application and its database run on Reclaim Cloud's Canadian region. The text of each conversational turn, with the attached materials, is sent to the model provider's API (Anthropic, in the United States) to produce the reply. Under the provider's commercial API terms that text is not used to train models; that is a contractual statement, not a technical one, and worth having IT confirm. The tool can be pointed at a different endpoint if TRU adopts a sovereign or on-premises model service; nothing else changes.</w:t>
      </w:r>
    </w:p>
    <w:p>
      <w:pPr>
        <w:keepNext/>
        <w:spacing w:after="60" w:before="220"/>
      </w:pPr>
      <w:r>
        <w:rPr>
          <w:rFonts w:ascii="Calibri" w:cs="Calibri" w:eastAsia="Calibri" w:hAnsi="Calibri"/>
          <w:b/>
          <w:bCs/>
          <w:sz w:val="22"/>
          <w:szCs w:val="22"/>
        </w:rPr>
        <w:t xml:space="preserve">What does it cost, and who pays?</w:t>
      </w:r>
    </w:p>
    <w:p>
      <w:pPr>
        <w:spacing w:after="160" w:line="300"/>
      </w:pPr>
      <w:r>
        <w:rPr>
          <w:rFonts w:ascii="Calibri" w:cs="Calibri" w:eastAsia="Calibri" w:hAnsi="Calibri"/>
          <w:sz w:val="22"/>
          <w:szCs w:val="22"/>
        </w:rPr>
        <w:t xml:space="preserve">Every model call is recorded with its token counts and which session and endpoint it served, so cost per session and per course is a query, not an estimate. The tutor runs on a small, fast model with prompt caching, so a fifteen-minute session costs cents, not dollars. The cost ledger is the place to look before scaling.</w:t>
      </w:r>
    </w:p>
    <w:p>
      <w:pPr>
        <w:keepNext/>
        <w:spacing w:after="60" w:before="220"/>
      </w:pPr>
      <w:r>
        <w:rPr>
          <w:rFonts w:ascii="Calibri" w:cs="Calibri" w:eastAsia="Calibri" w:hAnsi="Calibri"/>
          <w:b/>
          <w:bCs/>
          <w:sz w:val="22"/>
          <w:szCs w:val="22"/>
        </w:rPr>
        <w:t xml:space="preserve">Is it accessible, and does it work for ABE learners?</w:t>
      </w:r>
    </w:p>
    <w:p>
      <w:pPr>
        <w:spacing w:after="160" w:line="300"/>
      </w:pPr>
      <w:r>
        <w:rPr>
          <w:rFonts w:ascii="Calibri" w:cs="Calibri" w:eastAsia="Calibri" w:hAnsi="Calibri"/>
          <w:sz w:val="22"/>
          <w:szCs w:val="22"/>
        </w:rPr>
        <w:t xml:space="preserve">Sessions run by typing or by voice, with replies read aloud in the best voice the learner's device has. Every session has a paper version and every material a printable debrief template; a course pack bundles them for learners with poor or no connection. Each course sets a reading level and tone ("pitch") that every session honours, so an ABE course and a graduate course get the right register. The interface has had an accessibility pass (keyboard, screen reader, contrast, text size, reduced motion; docs/ACCESSIBILITY.md), but it has not yet been tested with assistive-technology users. That is a gap, and a good one for Open Learning to help close.</w:t>
      </w:r>
    </w:p>
    <w:p>
      <w:pPr>
        <w:keepNext/>
        <w:spacing w:after="60" w:before="220"/>
      </w:pPr>
      <w:r>
        <w:rPr>
          <w:rFonts w:ascii="Calibri" w:cs="Calibri" w:eastAsia="Calibri" w:hAnsi="Calibri"/>
          <w:b/>
          <w:bCs/>
          <w:sz w:val="22"/>
          <w:szCs w:val="22"/>
        </w:rPr>
        <w:t xml:space="preserve">Does it respect open licensing?</w:t>
      </w:r>
    </w:p>
    <w:p>
      <w:pPr>
        <w:spacing w:after="160" w:line="300"/>
      </w:pPr>
      <w:r>
        <w:rPr>
          <w:rFonts w:ascii="Calibri" w:cs="Calibri" w:eastAsia="Calibri" w:hAnsi="Calibri"/>
          <w:sz w:val="22"/>
          <w:szCs w:val="22"/>
        </w:rPr>
        <w:t xml:space="preserve">The materials view is for open resources and points to the BC Open Collection, TRU Open Press and the Open Textbook Library. Imported chapters carry their licence and attribution, and the tutor names the source so learners can go to the original. The tool does not check that something an author pastes is open; that remains the author's responsibility, as it is now.</w:t>
      </w:r>
    </w:p>
    <w:p>
      <w:pPr>
        <w:keepNext/>
        <w:spacing w:after="60" w:before="220"/>
      </w:pPr>
      <w:r>
        <w:rPr>
          <w:rFonts w:ascii="Calibri" w:cs="Calibri" w:eastAsia="Calibri" w:hAnsi="Calibri"/>
          <w:b/>
          <w:bCs/>
          <w:sz w:val="22"/>
          <w:szCs w:val="22"/>
        </w:rPr>
        <w:t xml:space="preserve">Does it add to the OLFM's workload?</w:t>
      </w:r>
    </w:p>
    <w:p>
      <w:pPr>
        <w:spacing w:after="160" w:line="300"/>
      </w:pPr>
      <w:r>
        <w:rPr>
          <w:rFonts w:ascii="Calibri" w:cs="Calibri" w:eastAsia="Calibri" w:hAnsi="Calibri"/>
          <w:sz w:val="22"/>
          <w:szCs w:val="22"/>
        </w:rPr>
        <w:t xml:space="preserve">It adds a review step per session and gives back a report. The report is the part worth the OLFM's attention: who is stuck before the due date, the sticking points across the course ranked by frequency, a revision brief for the next offering, and the learners' own ratings of how well the material prepared them. It does not escalate a struggling learner to the OLFM from inside a session; the tutor points the learner to their instructor in words, and the summary shows the instructor afterwards.</w:t>
      </w:r>
    </w:p>
    <w:p>
      <w:pPr>
        <w:pStyle w:val="Heading1"/>
        <w:pBdr>
          <w:top w:val="single" w:color="D9D5CB" w:sz="4" w:space="8"/>
        </w:pBdr>
        <w:spacing w:after="160" w:before="420"/>
      </w:pPr>
      <w:r>
        <w:rPr>
          <w:rFonts w:ascii="Calibri" w:cs="Calibri" w:eastAsia="Calibri" w:hAnsi="Calibri"/>
          <w:b/>
          <w:bCs/>
          <w:color w:val="1F2430"/>
          <w:sz w:val="30"/>
          <w:szCs w:val="30"/>
        </w:rPr>
        <w:t xml:space="preserve">4. Designing a unit with it</w:t>
      </w:r>
    </w:p>
    <w:p>
      <w:pPr>
        <w:spacing w:after="160" w:line="300"/>
      </w:pPr>
      <w:r>
        <w:rPr>
          <w:rFonts w:ascii="Calibri" w:cs="Calibri" w:eastAsia="Calibri" w:hAnsi="Calibri"/>
          <w:sz w:val="22"/>
          <w:szCs w:val="22"/>
        </w:rPr>
        <w:t xml:space="preserve">For a self-paced course, one unit might carry four sessions, each a few minutes, each placed where it belongs. Take a unit with a reading, two activities with study questions, and an assignment.</w:t>
      </w:r>
    </w:p>
    <w:p>
      <w:pPr>
        <w:pStyle w:val="ListParagraph"/>
        <w:numPr>
          <w:ilvl w:val="0"/>
          <w:numId w:val="2"/>
        </w:numPr>
        <w:spacing w:after="100" w:line="300"/>
      </w:pPr>
      <w:r>
        <w:rPr>
          <w:rFonts w:ascii="Calibri" w:cs="Calibri" w:eastAsia="Calibri" w:hAnsi="Calibri"/>
          <w:b/>
          <w:bCs/>
          <w:sz w:val="22"/>
          <w:szCs w:val="22"/>
        </w:rPr>
        <w:t xml:space="preserve">Import the course</w:t>
      </w:r>
      <w:r>
        <w:rPr>
          <w:rFonts w:ascii="Calibri" w:cs="Calibri" w:eastAsia="Calibri" w:hAnsi="Calibri"/>
          <w:sz w:val="22"/>
          <w:szCs w:val="22"/>
        </w:rPr>
        <w:t xml:space="preserve"> once from a backup. The unit arrives as its text, its activities and study questions, the reading with its PDF, and the assignment with its rubric, each marked for what it is.</w:t>
      </w:r>
    </w:p>
    <w:p>
      <w:pPr>
        <w:pStyle w:val="ListParagraph"/>
        <w:numPr>
          <w:ilvl w:val="0"/>
          <w:numId w:val="2"/>
        </w:numPr>
        <w:spacing w:after="100" w:line="300"/>
      </w:pPr>
      <w:r>
        <w:rPr>
          <w:rFonts w:ascii="Calibri" w:cs="Calibri" w:eastAsia="Calibri" w:hAnsi="Calibri"/>
          <w:b/>
          <w:bCs/>
          <w:sz w:val="22"/>
          <w:szCs w:val="22"/>
        </w:rPr>
        <w:t xml:space="preserve">Readiness check</w:t>
      </w:r>
      <w:r>
        <w:rPr>
          <w:rFonts w:ascii="Calibri" w:cs="Calibri" w:eastAsia="Calibri" w:hAnsi="Calibri"/>
          <w:sz w:val="22"/>
          <w:szCs w:val="22"/>
        </w:rPr>
        <w:t xml:space="preserve"> at the top of the unit: what learners already believe about the topic. The summary surfaces misconceptions before the material does.</w:t>
      </w:r>
    </w:p>
    <w:p>
      <w:pPr>
        <w:pStyle w:val="ListParagraph"/>
        <w:numPr>
          <w:ilvl w:val="0"/>
          <w:numId w:val="2"/>
        </w:numPr>
        <w:spacing w:after="100" w:line="300"/>
      </w:pPr>
      <w:r>
        <w:rPr>
          <w:rFonts w:ascii="Calibri" w:cs="Calibri" w:eastAsia="Calibri" w:hAnsi="Calibri"/>
          <w:b/>
          <w:bCs/>
          <w:sz w:val="22"/>
          <w:szCs w:val="22"/>
        </w:rPr>
        <w:t xml:space="preserve">Preparation check</w:t>
      </w:r>
      <w:r>
        <w:rPr>
          <w:rFonts w:ascii="Calibri" w:cs="Calibri" w:eastAsia="Calibri" w:hAnsi="Calibri"/>
          <w:sz w:val="22"/>
          <w:szCs w:val="22"/>
        </w:rPr>
        <w:t xml:space="preserve"> after the reading: did the key ideas land. Draft it with the reading ticked; the probes come from the chapter.</w:t>
      </w:r>
    </w:p>
    <w:p>
      <w:pPr>
        <w:pStyle w:val="ListParagraph"/>
        <w:numPr>
          <w:ilvl w:val="0"/>
          <w:numId w:val="2"/>
        </w:numPr>
        <w:spacing w:after="100" w:line="300"/>
      </w:pPr>
      <w:r>
        <w:rPr>
          <w:rFonts w:ascii="Calibri" w:cs="Calibri" w:eastAsia="Calibri" w:hAnsi="Calibri"/>
          <w:b/>
          <w:bCs/>
          <w:sz w:val="22"/>
          <w:szCs w:val="22"/>
        </w:rPr>
        <w:t xml:space="preserve">Tutorial</w:t>
      </w:r>
      <w:r>
        <w:rPr>
          <w:rFonts w:ascii="Calibri" w:cs="Calibri" w:eastAsia="Calibri" w:hAnsi="Calibri"/>
          <w:sz w:val="22"/>
          <w:szCs w:val="22"/>
        </w:rPr>
        <w:t xml:space="preserve"> on the unit's hardest concept, after the activities. Draft it with the text and the study questions ticked; the course's own questions become the probes.</w:t>
      </w:r>
    </w:p>
    <w:p>
      <w:pPr>
        <w:pStyle w:val="ListParagraph"/>
        <w:numPr>
          <w:ilvl w:val="0"/>
          <w:numId w:val="2"/>
        </w:numPr>
        <w:spacing w:after="100" w:line="300"/>
      </w:pPr>
      <w:r>
        <w:rPr>
          <w:rFonts w:ascii="Calibri" w:cs="Calibri" w:eastAsia="Calibri" w:hAnsi="Calibri"/>
          <w:b/>
          <w:bCs/>
          <w:sz w:val="22"/>
          <w:szCs w:val="22"/>
        </w:rPr>
        <w:t xml:space="preserve">Assignment start</w:t>
      </w:r>
      <w:r>
        <w:rPr>
          <w:rFonts w:ascii="Calibri" w:cs="Calibri" w:eastAsia="Calibri" w:hAnsi="Calibri"/>
          <w:sz w:val="22"/>
          <w:szCs w:val="22"/>
        </w:rPr>
        <w:t xml:space="preserve"> beneath the assignment. Draft it with the assignment, the reading and the activities ticked. The learner leaves with their own understanding of the task, a plan and a first step; the OLFM sees who could not start.</w:t>
      </w:r>
    </w:p>
    <w:p>
      <w:pPr>
        <w:pStyle w:val="ListParagraph"/>
        <w:numPr>
          <w:ilvl w:val="0"/>
          <w:numId w:val="2"/>
        </w:numPr>
        <w:spacing w:after="100" w:line="300"/>
      </w:pPr>
      <w:r>
        <w:rPr>
          <w:rFonts w:ascii="Calibri" w:cs="Calibri" w:eastAsia="Calibri" w:hAnsi="Calibri"/>
          <w:sz w:val="22"/>
          <w:szCs w:val="22"/>
        </w:rPr>
        <w:t xml:space="preserve">Later in the course, a </w:t>
      </w:r>
      <w:r>
        <w:rPr>
          <w:rFonts w:ascii="Calibri" w:cs="Calibri" w:eastAsia="Calibri" w:hAnsi="Calibri"/>
          <w:b/>
          <w:bCs/>
          <w:sz w:val="22"/>
          <w:szCs w:val="22"/>
        </w:rPr>
        <w:t xml:space="preserve">recall</w:t>
      </w:r>
      <w:r>
        <w:rPr>
          <w:rFonts w:ascii="Calibri" w:cs="Calibri" w:eastAsia="Calibri" w:hAnsi="Calibri"/>
          <w:sz w:val="22"/>
          <w:szCs w:val="22"/>
        </w:rPr>
        <w:t xml:space="preserve"> session points back at this unit, and a </w:t>
      </w:r>
      <w:r>
        <w:rPr>
          <w:rFonts w:ascii="Calibri" w:cs="Calibri" w:eastAsia="Calibri" w:hAnsi="Calibri"/>
          <w:b/>
          <w:bCs/>
          <w:sz w:val="22"/>
          <w:szCs w:val="22"/>
        </w:rPr>
        <w:t xml:space="preserve">reflection</w:t>
      </w:r>
      <w:r>
        <w:rPr>
          <w:rFonts w:ascii="Calibri" w:cs="Calibri" w:eastAsia="Calibri" w:hAnsi="Calibri"/>
          <w:sz w:val="22"/>
          <w:szCs w:val="22"/>
        </w:rPr>
        <w:t xml:space="preserve"> closes it.</w:t>
      </w:r>
    </w:p>
    <w:p>
      <w:pPr>
        <w:spacing w:after="160" w:line="300"/>
      </w:pPr>
      <w:r>
        <w:rPr>
          <w:rFonts w:ascii="Calibri" w:cs="Calibri" w:eastAsia="Calibri" w:hAnsi="Calibri"/>
          <w:sz w:val="22"/>
          <w:szCs w:val="22"/>
        </w:rPr>
        <w:t xml:space="preserve">None of this is locked. A learner can do sessions in any order or not at all; the home page suggests what is next and nudges gently. The design decision is placement and sequence, which is yours.</w:t>
      </w:r>
    </w:p>
    <w:p>
      <w:pPr>
        <w:pStyle w:val="Heading1"/>
        <w:pBdr>
          <w:top w:val="single" w:color="D9D5CB" w:sz="4" w:space="8"/>
        </w:pBdr>
        <w:spacing w:after="160" w:before="420"/>
      </w:pPr>
      <w:r>
        <w:rPr>
          <w:rFonts w:ascii="Calibri" w:cs="Calibri" w:eastAsia="Calibri" w:hAnsi="Calibri"/>
          <w:b/>
          <w:bCs/>
          <w:color w:val="1F2430"/>
          <w:sz w:val="30"/>
          <w:szCs w:val="30"/>
        </w:rPr>
        <w:t xml:space="preserve">5. A brief-review checklist</w:t>
      </w:r>
    </w:p>
    <w:p>
      <w:pPr>
        <w:spacing w:after="160" w:line="300"/>
      </w:pPr>
      <w:r>
        <w:rPr>
          <w:rFonts w:ascii="Calibri" w:cs="Calibri" w:eastAsia="Calibri" w:hAnsi="Calibri"/>
          <w:sz w:val="22"/>
          <w:szCs w:val="22"/>
        </w:rPr>
        <w:t xml:space="preserve">The quality of a session is the quality of its brief. These are the questions worth asking of a draft before it is published, whoever wrote it.</w:t>
      </w:r>
    </w:p>
    <w:p>
      <w:pPr>
        <w:pStyle w:val="ListParagraph"/>
        <w:numPr>
          <w:ilvl w:val="0"/>
          <w:numId w:val="3"/>
        </w:numPr>
        <w:spacing w:after="100" w:line="300"/>
      </w:pPr>
      <w:r>
        <w:rPr>
          <w:rFonts w:ascii="Calibri" w:cs="Calibri" w:eastAsia="Calibri" w:hAnsi="Calibri"/>
          <w:b/>
          <w:bCs/>
          <w:sz w:val="22"/>
          <w:szCs w:val="22"/>
        </w:rPr>
        <w:t xml:space="preserve">One goal.</w:t>
      </w:r>
      <w:r>
        <w:rPr>
          <w:rFonts w:ascii="Calibri" w:cs="Calibri" w:eastAsia="Calibri" w:hAnsi="Calibri"/>
          <w:sz w:val="22"/>
          <w:szCs w:val="22"/>
        </w:rPr>
        <w:t xml:space="preserve"> Can the learning goal be said in a sentence? If it needs three, it is three sessions.</w:t>
      </w:r>
    </w:p>
    <w:p>
      <w:pPr>
        <w:pStyle w:val="ListParagraph"/>
        <w:numPr>
          <w:ilvl w:val="0"/>
          <w:numId w:val="3"/>
        </w:numPr>
        <w:spacing w:after="100" w:line="300"/>
      </w:pPr>
      <w:r>
        <w:rPr>
          <w:rFonts w:ascii="Calibri" w:cs="Calibri" w:eastAsia="Calibri" w:hAnsi="Calibri"/>
          <w:b/>
          <w:bCs/>
          <w:sz w:val="22"/>
          <w:szCs w:val="22"/>
        </w:rPr>
        <w:t xml:space="preserve">An opening question a cold learner can answer.</w:t>
      </w:r>
      <w:r>
        <w:rPr>
          <w:rFonts w:ascii="Calibri" w:cs="Calibri" w:eastAsia="Calibri" w:hAnsi="Calibri"/>
          <w:sz w:val="22"/>
          <w:szCs w:val="22"/>
        </w:rPr>
        <w:t xml:space="preserve"> In a self-paced course the learner may arrive without having read anything yet. Does the first question stand on its own?</w:t>
      </w:r>
    </w:p>
    <w:p>
      <w:pPr>
        <w:pStyle w:val="ListParagraph"/>
        <w:numPr>
          <w:ilvl w:val="0"/>
          <w:numId w:val="3"/>
        </w:numPr>
        <w:spacing w:after="100" w:line="300"/>
      </w:pPr>
      <w:r>
        <w:rPr>
          <w:rFonts w:ascii="Calibri" w:cs="Calibri" w:eastAsia="Calibri" w:hAnsi="Calibri"/>
          <w:b/>
          <w:bCs/>
          <w:sz w:val="22"/>
          <w:szCs w:val="22"/>
        </w:rPr>
        <w:t xml:space="preserve">Probes in order, each with what a good answer contains.</w:t>
      </w:r>
      <w:r>
        <w:rPr>
          <w:rFonts w:ascii="Calibri" w:cs="Calibri" w:eastAsia="Calibri" w:hAnsi="Calibri"/>
          <w:sz w:val="22"/>
          <w:szCs w:val="22"/>
        </w:rPr>
        <w:t xml:space="preserve"> The tutor judges answers against these. Vague probes get vague tutoring.</w:t>
      </w:r>
    </w:p>
    <w:p>
      <w:pPr>
        <w:pStyle w:val="ListParagraph"/>
        <w:numPr>
          <w:ilvl w:val="0"/>
          <w:numId w:val="3"/>
        </w:numPr>
        <w:spacing w:after="100" w:line="300"/>
      </w:pPr>
      <w:r>
        <w:rPr>
          <w:rFonts w:ascii="Calibri" w:cs="Calibri" w:eastAsia="Calibri" w:hAnsi="Calibri"/>
          <w:b/>
          <w:bCs/>
          <w:sz w:val="22"/>
          <w:szCs w:val="22"/>
        </w:rPr>
        <w:t xml:space="preserve">Misconceptions with the question that exposes each.</w:t>
      </w:r>
      <w:r>
        <w:rPr>
          <w:rFonts w:ascii="Calibri" w:cs="Calibri" w:eastAsia="Calibri" w:hAnsi="Calibri"/>
          <w:sz w:val="22"/>
          <w:szCs w:val="22"/>
        </w:rPr>
        <w:t xml:space="preserve"> Not a list of wrong beliefs; a list of questions.</w:t>
      </w:r>
    </w:p>
    <w:p>
      <w:pPr>
        <w:pStyle w:val="ListParagraph"/>
        <w:numPr>
          <w:ilvl w:val="0"/>
          <w:numId w:val="3"/>
        </w:numPr>
        <w:spacing w:after="100" w:line="300"/>
      </w:pPr>
      <w:r>
        <w:rPr>
          <w:rFonts w:ascii="Calibri" w:cs="Calibri" w:eastAsia="Calibri" w:hAnsi="Calibri"/>
          <w:b/>
          <w:bCs/>
          <w:sz w:val="22"/>
          <w:szCs w:val="22"/>
        </w:rPr>
        <w:t xml:space="preserve">"Got it" criteria that describe what the learner can say or do.</w:t>
      </w:r>
      <w:r>
        <w:rPr>
          <w:rFonts w:ascii="Calibri" w:cs="Calibri" w:eastAsia="Calibri" w:hAnsi="Calibri"/>
          <w:sz w:val="22"/>
          <w:szCs w:val="22"/>
        </w:rPr>
        <w:t xml:space="preserve"> The summary's judgement is only as good as this.</w:t>
      </w:r>
    </w:p>
    <w:p>
      <w:pPr>
        <w:pStyle w:val="ListParagraph"/>
        <w:numPr>
          <w:ilvl w:val="0"/>
          <w:numId w:val="3"/>
        </w:numPr>
        <w:spacing w:after="100" w:line="300"/>
      </w:pPr>
      <w:r>
        <w:rPr>
          <w:rFonts w:ascii="Calibri" w:cs="Calibri" w:eastAsia="Calibri" w:hAnsi="Calibri"/>
          <w:b/>
          <w:bCs/>
          <w:sz w:val="22"/>
          <w:szCs w:val="22"/>
        </w:rPr>
        <w:t xml:space="preserve">The course's own questions first.</w:t>
      </w:r>
      <w:r>
        <w:rPr>
          <w:rFonts w:ascii="Calibri" w:cs="Calibri" w:eastAsia="Calibri" w:hAnsi="Calibri"/>
          <w:sz w:val="22"/>
          <w:szCs w:val="22"/>
        </w:rPr>
        <w:t xml:space="preserve"> If the unit has activities and study questions, do the probes use them and name them?</w:t>
      </w:r>
    </w:p>
    <w:p>
      <w:pPr>
        <w:pStyle w:val="ListParagraph"/>
        <w:numPr>
          <w:ilvl w:val="0"/>
          <w:numId w:val="3"/>
        </w:numPr>
        <w:spacing w:after="100" w:line="300"/>
      </w:pPr>
      <w:r>
        <w:rPr>
          <w:rFonts w:ascii="Calibri" w:cs="Calibri" w:eastAsia="Calibri" w:hAnsi="Calibri"/>
          <w:b/>
          <w:bCs/>
          <w:sz w:val="22"/>
          <w:szCs w:val="22"/>
        </w:rPr>
        <w:t xml:space="preserve">Pitch.</w:t>
      </w:r>
      <w:r>
        <w:rPr>
          <w:rFonts w:ascii="Calibri" w:cs="Calibri" w:eastAsia="Calibri" w:hAnsi="Calibri"/>
          <w:sz w:val="22"/>
          <w:szCs w:val="22"/>
        </w:rPr>
        <w:t xml:space="preserve"> Is it at the course's reading level, with the examples the course's learners would recognise?</w:t>
      </w:r>
    </w:p>
    <w:p>
      <w:pPr>
        <w:pStyle w:val="ListParagraph"/>
        <w:numPr>
          <w:ilvl w:val="0"/>
          <w:numId w:val="3"/>
        </w:numPr>
        <w:spacing w:after="100" w:line="300"/>
      </w:pPr>
      <w:r>
        <w:rPr>
          <w:rFonts w:ascii="Calibri" w:cs="Calibri" w:eastAsia="Calibri" w:hAnsi="Calibri"/>
          <w:b/>
          <w:bCs/>
          <w:sz w:val="22"/>
          <w:szCs w:val="22"/>
        </w:rPr>
        <w:t xml:space="preserve">Try it as a student.</w:t>
      </w:r>
      <w:r>
        <w:rPr>
          <w:rFonts w:ascii="Calibri" w:cs="Calibri" w:eastAsia="Calibri" w:hAnsi="Calibri"/>
          <w:sz w:val="22"/>
          <w:szCs w:val="22"/>
        </w:rPr>
        <w:t xml:space="preserve"> Two minutes. It is the single most useful check.</w:t>
      </w:r>
    </w:p>
    <w:p>
      <w:pPr>
        <w:pStyle w:val="Heading1"/>
        <w:pBdr>
          <w:top w:val="single" w:color="D9D5CB" w:sz="4" w:space="8"/>
        </w:pBdr>
        <w:spacing w:after="160" w:before="420"/>
      </w:pPr>
      <w:r>
        <w:rPr>
          <w:rFonts w:ascii="Calibri" w:cs="Calibri" w:eastAsia="Calibri" w:hAnsi="Calibri"/>
          <w:b/>
          <w:bCs/>
          <w:color w:val="1F2430"/>
          <w:sz w:val="30"/>
          <w:szCs w:val="30"/>
        </w:rPr>
        <w:t xml:space="preserve">6. What it does not do yet</w:t>
      </w:r>
    </w:p>
    <w:p>
      <w:pPr>
        <w:pStyle w:val="ListParagraph"/>
        <w:numPr>
          <w:ilvl w:val="0"/>
          <w:numId w:val="3"/>
        </w:numPr>
        <w:spacing w:after="100" w:line="300"/>
      </w:pPr>
      <w:r>
        <w:rPr>
          <w:rFonts w:ascii="Calibri" w:cs="Calibri" w:eastAsia="Calibri" w:hAnsi="Calibri"/>
          <w:sz w:val="22"/>
          <w:szCs w:val="22"/>
        </w:rPr>
        <w:t xml:space="preserve">It does not sync with the live course. The course comes in from a backup the author makes and uploads; re-importing updates the materials in place. Live sync needs Moodle web services, which are off on moodbox (section 7).</w:t>
      </w:r>
    </w:p>
    <w:p>
      <w:pPr>
        <w:pStyle w:val="ListParagraph"/>
        <w:numPr>
          <w:ilvl w:val="0"/>
          <w:numId w:val="3"/>
        </w:numPr>
        <w:spacing w:after="100" w:line="300"/>
      </w:pPr>
      <w:r>
        <w:rPr>
          <w:rFonts w:ascii="Calibri" w:cs="Calibri" w:eastAsia="Calibri" w:hAnsi="Calibri"/>
          <w:sz w:val="22"/>
          <w:szCs w:val="22"/>
        </w:rPr>
        <w:t xml:space="preserve">It does not read a reading that exists only as a link to a library database or a publisher site; those import as a title and a link. Scanned PDFs need OCR first.</w:t>
      </w:r>
    </w:p>
    <w:p>
      <w:pPr>
        <w:pStyle w:val="ListParagraph"/>
        <w:numPr>
          <w:ilvl w:val="0"/>
          <w:numId w:val="3"/>
        </w:numPr>
        <w:spacing w:after="100" w:line="300"/>
      </w:pPr>
      <w:r>
        <w:rPr>
          <w:rFonts w:ascii="Calibri" w:cs="Calibri" w:eastAsia="Calibri" w:hAnsi="Calibri"/>
          <w:sz w:val="22"/>
          <w:szCs w:val="22"/>
        </w:rPr>
        <w:t xml:space="preserve">The learner model is per course. What a learner showed in an earlier course does not carry over.</w:t>
      </w:r>
    </w:p>
    <w:p>
      <w:pPr>
        <w:pStyle w:val="ListParagraph"/>
        <w:numPr>
          <w:ilvl w:val="0"/>
          <w:numId w:val="3"/>
        </w:numPr>
        <w:spacing w:after="100" w:line="300"/>
      </w:pPr>
      <w:r>
        <w:rPr>
          <w:rFonts w:ascii="Calibri" w:cs="Calibri" w:eastAsia="Calibri" w:hAnsi="Calibri"/>
          <w:sz w:val="22"/>
          <w:szCs w:val="22"/>
        </w:rPr>
        <w:t xml:space="preserve">Voice input and read-aloud need a connection and a supported browser. Offline, the paper versions are the fallback, and there is no spoken paper version.</w:t>
      </w:r>
    </w:p>
    <w:p>
      <w:pPr>
        <w:pStyle w:val="ListParagraph"/>
        <w:numPr>
          <w:ilvl w:val="0"/>
          <w:numId w:val="3"/>
        </w:numPr>
        <w:spacing w:after="100" w:line="300"/>
      </w:pPr>
      <w:r>
        <w:rPr>
          <w:rFonts w:ascii="Calibri" w:cs="Calibri" w:eastAsia="Calibri" w:hAnsi="Calibri"/>
          <w:sz w:val="22"/>
          <w:szCs w:val="22"/>
        </w:rPr>
        <w:t xml:space="preserve">There is no human-in-the-loop escalation from inside a session.</w:t>
      </w:r>
    </w:p>
    <w:p>
      <w:pPr>
        <w:pStyle w:val="ListParagraph"/>
        <w:numPr>
          <w:ilvl w:val="0"/>
          <w:numId w:val="3"/>
        </w:numPr>
        <w:spacing w:after="100" w:line="300"/>
      </w:pPr>
      <w:r>
        <w:rPr>
          <w:rFonts w:ascii="Calibri" w:cs="Calibri" w:eastAsia="Calibri" w:hAnsi="Calibri"/>
          <w:sz w:val="22"/>
          <w:szCs w:val="22"/>
        </w:rPr>
        <w:t xml:space="preserve">It has not been through assistive-technology user testing, and the backup import has been tested on synthetic backups and one real course so far.</w:t>
      </w:r>
    </w:p>
    <w:p>
      <w:pPr>
        <w:pStyle w:val="Heading1"/>
        <w:pBdr>
          <w:top w:val="single" w:color="D9D5CB" w:sz="4" w:space="8"/>
        </w:pBdr>
        <w:spacing w:after="160" w:before="420"/>
      </w:pPr>
      <w:r>
        <w:rPr>
          <w:rFonts w:ascii="Calibri" w:cs="Calibri" w:eastAsia="Calibri" w:hAnsi="Calibri"/>
          <w:b/>
          <w:bCs/>
          <w:color w:val="1F2430"/>
          <w:sz w:val="30"/>
          <w:szCs w:val="30"/>
        </w:rPr>
        <w:t xml:space="preserve">7. What we need from you and from IT</w:t>
      </w:r>
    </w:p>
    <w:tbl>
      <w:tblPr>
        <w:tblW w:type="dxa" w:w="9360"/>
        <w:tblBorders>
          <w:top w:val="none" w:sz="0"/>
          <w:left w:val="single" w:color="8A4B08" w:sz="24"/>
          <w:bottom w:val="none" w:sz="0"/>
          <w:right w:val="none" w:sz="0"/>
          <w:insideH w:val="none" w:sz="0"/>
          <w:insideV w:val="none" w:sz="0"/>
        </w:tblBorders>
      </w:tblPr>
      <w:tblGrid>
        <w:gridCol w:w="9360"/>
      </w:tblGrid>
      <w:tr>
        <w:tc>
          <w:tcPr>
            <w:tcW w:type="dxa" w:w="9360"/>
            <w:shd w:fill="FDF1E3" w:color="auto" w:val="clear"/>
            <w:tcMar>
              <w:top w:type="dxa" w:w="160"/>
              <w:left w:type="dxa" w:w="220"/>
              <w:bottom w:type="dxa" w:w="100"/>
              <w:right w:type="dxa" w:w="220"/>
            </w:tcMar>
          </w:tcPr>
          <w:p>
            <w:pPr>
              <w:spacing w:after="60"/>
            </w:pPr>
            <w:r>
              <w:rPr>
                <w:rFonts w:ascii="Calibri" w:cs="Calibri" w:eastAsia="Calibri" w:hAnsi="Calibri"/>
                <w:b/>
                <w:bCs/>
                <w:color w:val="8A4B08"/>
                <w:spacing w:val="20"/>
                <w:sz w:val="16"/>
                <w:szCs w:val="16"/>
              </w:rPr>
              <w:t xml:space="preserve">NEEDS A MOODLE ADMINISTRATOR</w:t>
            </w:r>
          </w:p>
          <w:p>
            <w:pPr>
              <w:spacing w:after="100" w:line="300"/>
            </w:pPr>
            <w:r>
              <w:rPr>
                <w:rFonts w:ascii="Calibri" w:cs="Calibri" w:eastAsia="Calibri" w:hAnsi="Calibri"/>
                <w:b/>
                <w:bCs/>
                <w:sz w:val="22"/>
                <w:szCs w:val="22"/>
              </w:rPr>
              <w:t xml:space="preserve">Live course sync.</w:t>
            </w:r>
            <w:r>
              <w:rPr>
                <w:rFonts w:ascii="Calibri" w:cs="Calibri" w:eastAsia="Calibri" w:hAnsi="Calibri"/>
                <w:sz w:val="22"/>
                <w:szCs w:val="22"/>
              </w:rPr>
              <w:t xml:space="preserve"> The single most useful next step is a live connection to the course through Moodle web services, so materials refresh with one click and new assignments appear without a backup. It needs a site administrator to enable web services and create one read-only external service (course contents, pages, books, labels, resources, URLs, assignments, forum prompts, lessons, glossaries, and file download), and to issue a token. Nothing that touches users, grades or submissions, and nothing that writes. Most institutional Moodles already have web services on for the mobile app. The instructor guide lists the exact functions to request.</w:t>
            </w:r>
          </w:p>
        </w:tc>
      </w:tr>
    </w:tbl>
    <w:p>
      <w:pPr>
        <w:spacing w:after="120"/>
      </w:pPr>
    </w:p>
    <w:p>
      <w:pPr>
        <w:spacing w:after="160" w:line="300"/>
      </w:pPr>
      <w:r>
        <w:rPr>
          <w:rFonts w:ascii="Calibri" w:cs="Calibri" w:eastAsia="Calibri" w:hAnsi="Calibri"/>
          <w:sz w:val="22"/>
          <w:szCs w:val="22"/>
        </w:rPr>
        <w:t xml:space="preserve">From Instructional Designers, three things would help most:</w:t>
      </w:r>
    </w:p>
    <w:p>
      <w:pPr>
        <w:pStyle w:val="ListParagraph"/>
        <w:numPr>
          <w:ilvl w:val="0"/>
          <w:numId w:val="4"/>
        </w:numPr>
        <w:spacing w:after="100" w:line="300"/>
      </w:pPr>
      <w:r>
        <w:rPr>
          <w:rFonts w:ascii="Calibri" w:cs="Calibri" w:eastAsia="Calibri" w:hAnsi="Calibri"/>
          <w:b/>
          <w:bCs/>
          <w:sz w:val="22"/>
          <w:szCs w:val="22"/>
        </w:rPr>
        <w:t xml:space="preserve">Two or three pilot courses</w:t>
      </w:r>
      <w:r>
        <w:rPr>
          <w:rFonts w:ascii="Calibri" w:cs="Calibri" w:eastAsia="Calibri" w:hAnsi="Calibri"/>
          <w:sz w:val="22"/>
          <w:szCs w:val="22"/>
        </w:rPr>
        <w:t xml:space="preserve"> across modes, ideally one self-paced, with an OLFM willing to review briefs and read the reports for a term.</w:t>
      </w:r>
    </w:p>
    <w:p>
      <w:pPr>
        <w:pStyle w:val="ListParagraph"/>
        <w:numPr>
          <w:ilvl w:val="0"/>
          <w:numId w:val="4"/>
        </w:numPr>
        <w:spacing w:after="100" w:line="300"/>
      </w:pPr>
      <w:r>
        <w:rPr>
          <w:rFonts w:ascii="Calibri" w:cs="Calibri" w:eastAsia="Calibri" w:hAnsi="Calibri"/>
          <w:b/>
          <w:bCs/>
          <w:sz w:val="22"/>
          <w:szCs w:val="22"/>
        </w:rPr>
        <w:t xml:space="preserve">Your brief-review standard.</w:t>
      </w:r>
      <w:r>
        <w:rPr>
          <w:rFonts w:ascii="Calibri" w:cs="Calibri" w:eastAsia="Calibri" w:hAnsi="Calibri"/>
          <w:sz w:val="22"/>
          <w:szCs w:val="22"/>
        </w:rPr>
        <w:t xml:space="preserve"> The checklist above is a start; a version in Open Learning's own terms, tied to its course design standards, would be better, and could live inside the tool's editor as the guidance authors see.</w:t>
      </w:r>
    </w:p>
    <w:p>
      <w:pPr>
        <w:pStyle w:val="ListParagraph"/>
        <w:numPr>
          <w:ilvl w:val="0"/>
          <w:numId w:val="4"/>
        </w:numPr>
        <w:spacing w:after="100" w:line="300"/>
      </w:pPr>
      <w:r>
        <w:rPr>
          <w:rFonts w:ascii="Calibri" w:cs="Calibri" w:eastAsia="Calibri" w:hAnsi="Calibri"/>
          <w:b/>
          <w:bCs/>
          <w:sz w:val="22"/>
          <w:szCs w:val="22"/>
        </w:rPr>
        <w:t xml:space="preserve">Accessibility testing</w:t>
      </w:r>
      <w:r>
        <w:rPr>
          <w:rFonts w:ascii="Calibri" w:cs="Calibri" w:eastAsia="Calibri" w:hAnsi="Calibri"/>
          <w:sz w:val="22"/>
          <w:szCs w:val="22"/>
        </w:rPr>
        <w:t xml:space="preserve"> with real assistive-technology users, and a decision on the default reading level and disclosure wording for Open Learning courses.</w:t>
      </w:r>
    </w:p>
    <w:p>
      <w:pPr>
        <w:spacing w:after="160" w:line="300"/>
      </w:pPr>
      <w:r>
        <w:rPr>
          <w:rFonts w:ascii="Calibri" w:cs="Calibri" w:eastAsia="Calibri" w:hAnsi="Calibri"/>
          <w:sz w:val="22"/>
          <w:szCs w:val="22"/>
        </w:rPr>
        <w:t xml:space="preserve">Everything the tool does is in the open repository, including the full text of the rules the tutor follows for each kind of session. If a rule reads wrongly to you, it is a sentence to change, not a product to replace.</w:t>
      </w:r>
    </w:p>
    <w:p>
      <w:pPr>
        <w:pBdr>
          <w:top w:val="single" w:color="D9D5CB" w:sz="4" w:space="8"/>
        </w:pBdr>
        <w:spacing w:after="0" w:before="400"/>
      </w:pPr>
      <w:r>
        <w:rPr>
          <w:rFonts w:ascii="Calibri" w:cs="Calibri" w:eastAsia="Calibri" w:hAnsi="Calibri"/>
          <w:color w:val="5D6474"/>
          <w:sz w:val="18"/>
          <w:szCs w:val="18"/>
        </w:rPr>
        <w:t xml:space="preserve">Companion to the instructor guide. Full documentation: README.md and docs/ in the repository (delivery modes in docs/ALIGNMENT.md, accessibility in docs/ACCESSIBILITY.md, the instructor guide in docs/USER-GUIDE.md).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 Tutor for Instructional Designers</dc:title>
  <dc:creator>LTI Tutor</dc:creator>
  <cp:lastModifiedBy>Un-named</cp:lastModifiedBy>
  <cp:revision>1</cp:revision>
  <dcterms:created xsi:type="dcterms:W3CDTF">2026-10-14T20:20:37.220Z</dcterms:created>
  <dcterms:modified xsi:type="dcterms:W3CDTF">2026-10-14T20:20:37.221Z</dcterms:modified>
</cp:coreProperties>
</file>

<file path=docProps/custom.xml><?xml version="1.0" encoding="utf-8"?>
<Properties xmlns="http://schemas.openxmlformats.org/officeDocument/2006/custom-properties" xmlns:vt="http://schemas.openxmlformats.org/officeDocument/2006/docPropsVTypes"/>
</file>