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Unidad 6. Análisis automático de sesgo léxico y discursivo</w:t>
      </w:r>
    </w:p>
    <w:p>
      <w:r>
        <w:rPr>
          <w:b/>
          <w:color w:val="003B5C"/>
        </w:rPr>
        <w:t>Evaluable PLN6 · Preguntas de reflexión</w:t>
      </w:r>
    </w:p>
    <w:p>
      <w:r>
        <w:rPr>
          <w:i/>
        </w:rPr>
        <w:t xml:space="preserve">Responde debajo de cada pregunta, en párrafos argumentados y apoyándote en los resultados que has obtenido al ejecutar el apartado 11 del cuaderno principal. Cuando termines, convierte este documento a PDF y nómbralo como se indica en el enunciado (por ejemplo, </w:t>
      </w:r>
      <w:r>
        <w:rPr>
          <w:rFonts w:ascii="Courier New" w:hAnsi="Courier New"/>
          <w:i/>
        </w:rPr>
        <w:t>331_229_UD6.pdf</w:t>
      </w:r>
      <w:r>
        <w:rPr>
          <w:i/>
        </w:rPr>
        <w:t>).</w:t>
      </w:r>
    </w:p>
    <w:p>
      <w:pPr>
        <w:pStyle w:val="Heading1"/>
      </w:pPr>
      <w:r>
        <w:t>Bloque A. Sobre 11.5 Promedios por clase (pos/neg/neu)</w:t>
      </w:r>
    </w:p>
    <w:p>
      <w:pPr>
        <w:pStyle w:val="Heading2"/>
      </w:pPr>
      <w:r>
        <w:t>A1. ¿Qué tipos de valoración no estamos capturando con un enfoque basado en léxico?</w:t>
      </w:r>
    </w:p>
    <w:p>
      <w:r>
        <w:rPr>
          <w:i/>
          <w:color w:val="7A8A92"/>
        </w:rPr>
        <w:t>[Escribe aquí vuestra respuesta]</w:t>
      </w:r>
    </w:p>
    <w:p/>
    <w:p>
      <w:pPr>
        <w:pStyle w:val="Heading2"/>
      </w:pPr>
      <w:r>
        <w:t>A2. ¿Qué papel juegan los emojis en Twitter y por qué pueden «desaparecer» del análisis?</w:t>
      </w:r>
    </w:p>
    <w:p>
      <w:r>
        <w:rPr>
          <w:i/>
          <w:color w:val="7A8A92"/>
        </w:rPr>
        <w:t>[Escribe aquí vuestra respuesta]</w:t>
      </w:r>
    </w:p>
    <w:p/>
    <w:p>
      <w:pPr>
        <w:pStyle w:val="Heading2"/>
      </w:pPr>
      <w:r>
        <w:t>A3. ¿Qué problemas introduce la ironía para este tipo de método?</w:t>
      </w:r>
    </w:p>
    <w:p>
      <w:r>
        <w:rPr>
          <w:i/>
          <w:color w:val="7A8A92"/>
        </w:rPr>
        <w:t>[Escribe aquí vuestra respuesta]</w:t>
      </w:r>
    </w:p>
    <w:p/>
    <w:p>
      <w:pPr>
        <w:pStyle w:val="Heading2"/>
      </w:pPr>
      <w:r>
        <w:t>A4. ¿Qué cambiaría (y qué riesgos aparecerían) si usáramos un léxico mayor?</w:t>
      </w:r>
    </w:p>
    <w:p>
      <w:r>
        <w:rPr>
          <w:i/>
          <w:color w:val="7A8A92"/>
        </w:rPr>
        <w:t>[Escribe aquí vuestra respuesta]</w:t>
      </w:r>
    </w:p>
    <w:p/>
    <w:p>
      <w:pPr>
        <w:pStyle w:val="Heading1"/>
      </w:pPr>
      <w:r>
        <w:t>Bloque B. Sobre 11.6 Ejemplos «interesantes» del subcorpus</w:t>
      </w:r>
    </w:p>
    <w:p>
      <w:pPr>
        <w:pStyle w:val="Heading2"/>
      </w:pPr>
      <w:r>
        <w:t xml:space="preserve">B1. ¿Qué estamos midiendo realmente con cada </w:t>
      </w:r>
      <w:r>
        <w:rPr>
          <w:i/>
        </w:rPr>
        <w:t>etiqueta</w:t>
      </w:r>
      <w:r>
        <w:t xml:space="preserve"> (</w:t>
      </w:r>
      <w:r>
        <w:rPr>
          <w:rFonts w:ascii="Courier New" w:hAnsi="Courier New"/>
        </w:rPr>
        <w:t>pos/neg/neu</w:t>
      </w:r>
      <w:r>
        <w:t>) y con nuestras métricas (</w:t>
      </w:r>
      <w:r>
        <w:rPr>
          <w:rFonts w:ascii="Courier New" w:hAnsi="Courier New"/>
        </w:rPr>
        <w:t>n_valorativo</w:t>
      </w:r>
      <w:r>
        <w:t xml:space="preserve">, </w:t>
      </w:r>
      <w:r>
        <w:rPr>
          <w:rFonts w:ascii="Courier New" w:hAnsi="Courier New"/>
        </w:rPr>
        <w:t>score_valorativo</w:t>
      </w:r>
      <w:r>
        <w:t>, etc.)?</w:t>
      </w:r>
    </w:p>
    <w:p>
      <w:r>
        <w:rPr>
          <w:i/>
          <w:color w:val="7A8A92"/>
        </w:rPr>
        <w:t>[Escribe aquí vuestra respuesta]</w:t>
      </w:r>
    </w:p>
    <w:p/>
    <w:p>
      <w:pPr>
        <w:pStyle w:val="Heading2"/>
      </w:pPr>
      <w:r>
        <w:t>B2. ¿Por qué «chicas» aparece repetido?</w:t>
      </w:r>
    </w:p>
    <w:p>
      <w:r>
        <w:rPr>
          <w:i/>
          <w:color w:val="7A8A92"/>
        </w:rPr>
        <w:t>[Escribe aquí vuestra respuesta]</w:t>
      </w:r>
    </w:p>
    <w:p/>
    <w:p>
      <w:pPr>
        <w:pStyle w:val="Heading2"/>
      </w:pPr>
      <w:r>
        <w:t>B3. ¿Es lo mismo mencionar género que hablar sobre género?</w:t>
      </w:r>
    </w:p>
    <w:p>
      <w:r>
        <w:rPr>
          <w:i/>
          <w:color w:val="7A8A92"/>
        </w:rPr>
        <w:t>[Escribe aquí vuestra respuesta]</w:t>
      </w:r>
    </w:p>
    <w:p/>
    <w:p>
      <w:pPr>
        <w:pStyle w:val="Heading2"/>
      </w:pPr>
      <w:r>
        <w:t xml:space="preserve">B4. ¿Por qué un texto etiquetado como </w:t>
      </w:r>
      <w:r>
        <w:rPr>
          <w:rFonts w:ascii="Courier New" w:hAnsi="Courier New"/>
        </w:rPr>
        <w:t>pos</w:t>
      </w:r>
      <w:r>
        <w:t xml:space="preserve"> puede contener la palabra «malo»? ¿Qué tipos de valoración no estamos capturando en ese caso?</w:t>
      </w:r>
    </w:p>
    <w:p>
      <w:r>
        <w:rPr>
          <w:i/>
          <w:color w:val="7A8A92"/>
        </w:rPr>
        <w:t>[Escribe aquí vuestra respuesta]</w:t>
      </w:r>
    </w:p>
    <w:p/>
    <w:p>
      <w:pPr>
        <w:pStyle w:val="Heading1"/>
      </w:pPr>
      <w:r>
        <w:t>Bloque C. Sobre 11.8 Co-ocurrencias cerca de términos de género</w:t>
      </w:r>
    </w:p>
    <w:p>
      <w:pPr>
        <w:pStyle w:val="Heading2"/>
      </w:pPr>
      <w:r>
        <w:t>C1. ¿Qué añadirías como stopwords específicas de Twitter? ¿Qué perderíamos si limpiamos demasiado?</w:t>
      </w:r>
    </w:p>
    <w:p>
      <w:r>
        <w:rPr>
          <w:i/>
          <w:color w:val="7A8A92"/>
        </w:rPr>
        <w:t>[Escribe aquí vuestra respuesta]</w:t>
      </w:r>
    </w:p>
    <w:p/>
    <w:p>
      <w:pPr>
        <w:pStyle w:val="Heading2"/>
      </w:pPr>
      <w:r>
        <w:t>C2. ¿Qué palabras del listado de co-ocurrencias te parecen interpretables y por qué?</w:t>
      </w:r>
    </w:p>
    <w:p>
      <w:r>
        <w:rPr>
          <w:i/>
          <w:color w:val="7A8A92"/>
        </w:rPr>
        <w:t>[Escribe aquí vuestra respuesta]</w:t>
      </w:r>
    </w:p>
    <w:p/>
    <w:p>
      <w:pPr>
        <w:pStyle w:val="Heading2"/>
      </w:pPr>
      <w:r>
        <w:t>C3. ¿Dirías que este subcorpus habla sobre género?</w:t>
      </w:r>
    </w:p>
    <w:p>
      <w:r>
        <w:rPr>
          <w:i/>
          <w:color w:val="7A8A92"/>
        </w:rPr>
        <w:t>[Escribe aquí vuestra respuesta]</w:t>
      </w:r>
    </w:p>
    <w:p/>
    <w:p>
      <w:pPr>
        <w:pStyle w:val="Heading2"/>
      </w:pPr>
      <w:r>
        <w:t>C4. ¿Qué habría que cambiar para capturar discursos más políticos o problemáticos?</w:t>
      </w:r>
    </w:p>
    <w:p>
      <w:r>
        <w:rPr>
          <w:i/>
          <w:color w:val="7A8A92"/>
        </w:rPr>
        <w:t>[Escribe aquí vuestra respuesta]</w:t>
      </w:r>
    </w:p>
    <w:p/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  <w:color w:val="7A8A92"/>
        <w:sz w:val="16"/>
      </w:rPr>
      <w:t xml:space="preserve">© Dra. Blanca Hernández Pardo · Programación orientada a PLN · Unidad 6 · Pág. </w:t>
    </w:r>
    <w:r>
      <w:rPr>
        <w:i/>
        <w:color w:val="7A8A92"/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34484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Arial" w:hAnsi="Arial" w:eastAsia="Arial"/>
      <w:b/>
      <w:bCs/>
      <w:color w:val="003B5C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Arial" w:hAnsi="Arial" w:eastAsia="Arial"/>
      <w:b/>
      <w:bCs/>
      <w:color w:val="003B5C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Arial" w:hAnsi="Arial" w:eastAsia="Arial"/>
      <w:b/>
      <w:color w:val="003B5C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