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ContaBol</w:t>
      </w:r>
      <w:r>
        <w:t xml:space="preserve"> </w:t>
      </w:r>
      <w:r>
        <w:t xml:space="preserve">—</w:t>
      </w:r>
      <w:r>
        <w:t xml:space="preserve"> </w:t>
      </w: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implementación</w:t>
      </w:r>
    </w:p>
    <w:p>
      <w:pPr>
        <w:pStyle w:val="Subtitle"/>
      </w:pPr>
      <w:r>
        <w:t xml:space="preserve">Instalación,</w:t>
      </w:r>
      <w:r>
        <w:t xml:space="preserve"> </w:t>
      </w:r>
      <w:r>
        <w:t xml:space="preserve">configuración,</w:t>
      </w:r>
      <w:r>
        <w:t xml:space="preserve"> </w:t>
      </w:r>
      <w:r>
        <w:t xml:space="preserve">despliegue</w:t>
      </w:r>
      <w:r>
        <w:t xml:space="preserve"> </w:t>
      </w:r>
      <w:r>
        <w:t xml:space="preserve">y</w:t>
      </w:r>
      <w:r>
        <w:t xml:space="preserve"> </w:t>
      </w:r>
      <w:r>
        <w:t xml:space="preserve">mantenimiento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arquitectura"/>
    <w:p>
      <w:pPr>
        <w:pStyle w:val="Heading2"/>
      </w:pPr>
      <w:r>
        <w:t xml:space="preserve">1. Arquitectura</w:t>
      </w:r>
    </w:p>
    <w:p>
      <w:pPr>
        <w:pStyle w:val="CaptionedFigure"/>
      </w:pPr>
      <w:r>
        <w:drawing>
          <wp:inline>
            <wp:extent cx="5334000" cy="2785533"/>
            <wp:effectExtent b="0" l="0" r="0" t="0"/>
            <wp:docPr descr="Arquitectura" title="" id="21" name="Picture"/>
            <a:graphic>
              <a:graphicData uri="http://schemas.openxmlformats.org/drawingml/2006/picture">
                <pic:pic>
                  <pic:nvPicPr>
                    <pic:cNvPr descr="img/arquitectur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ContaBol.Core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(Access/ACE), esquema, servicios contables/comerciales, reportes PDF/Excel. Sin dependencias de interfaz.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ContaBol.App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WinForms (net8.0-windows).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ContaBol.Tests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pruebas automáticas (SQLite en memoria).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Datos</w:t>
      </w:r>
      <w:r>
        <w:t xml:space="preserve">:</w:t>
      </w:r>
      <w:r>
        <w:t xml:space="preserve"> </w:t>
      </w:r>
      <w:r>
        <w:rPr>
          <w:rStyle w:val="VerbatimChar"/>
        </w:rPr>
        <w:t xml:space="preserve">Sistema.accdb</w:t>
      </w:r>
      <w:r>
        <w:t xml:space="preserve"> </w:t>
      </w:r>
      <w:r>
        <w:t xml:space="preserve">(empresas, usuarios, gestiones, auditoría) + un archivo por empresa y gestión:</w:t>
      </w:r>
      <w:r>
        <w:t xml:space="preserve"> </w:t>
      </w:r>
      <w:r>
        <w:rPr>
          <w:rStyle w:val="VerbatimChar"/>
        </w:rPr>
        <w:t xml:space="preserve">Datos\&lt;EMPRESA&gt;\&lt;AÑO&gt;.accdb</w:t>
      </w:r>
      <w:r>
        <w:t xml:space="preserve">. Cada archivo admite hasta 2 GB; al abrir gestión nueva se parte de un archivo limpio.</w:t>
      </w:r>
    </w:p>
    <w:bookmarkEnd w:id="23"/>
    <w:bookmarkStart w:id="24" w:name="requisitos"/>
    <w:p>
      <w:pPr>
        <w:pStyle w:val="Heading2"/>
      </w:pPr>
      <w:r>
        <w:t xml:space="preserve">2. Requisitos</w:t>
      </w:r>
    </w:p>
    <w:p>
      <w:pPr>
        <w:numPr>
          <w:ilvl w:val="0"/>
          <w:numId w:val="1001"/>
        </w:numPr>
        <w:pStyle w:val="Compact"/>
      </w:pPr>
      <w:r>
        <w:t xml:space="preserve">Windows 10/11 (64 bits recomendado), 4 GB RAM, 500 MB libres + espacio para datos y respaldos.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Microsoft Access Database Engine</w:t>
      </w:r>
      <w:r>
        <w:t xml:space="preserve"> </w:t>
      </w:r>
      <w:r>
        <w:t xml:space="preserve">(ACE 2016 o superior). La edición (x64/x86) debe coincidir con la publicada. No requiere Access instalado.</w:t>
      </w:r>
    </w:p>
    <w:p>
      <w:pPr>
        <w:numPr>
          <w:ilvl w:val="0"/>
          <w:numId w:val="1001"/>
        </w:numPr>
        <w:pStyle w:val="Compact"/>
      </w:pPr>
      <w:r>
        <w:t xml:space="preserve">Para compilar: SDK .NET 8 (Linux/Windows). La interfaz solo ejecuta en Windows.</w:t>
      </w:r>
    </w:p>
    <w:bookmarkEnd w:id="24"/>
    <w:bookmarkStart w:id="28" w:name="instalador-recomendado"/>
    <w:p>
      <w:pPr>
        <w:pStyle w:val="Heading2"/>
      </w:pPr>
      <w:r>
        <w:t xml:space="preserve">3. Instalador (recomendado)</w:t>
      </w:r>
    </w:p>
    <w:p>
      <w:pPr>
        <w:pStyle w:val="FirstParagraph"/>
      </w:pPr>
      <w:r>
        <w:t xml:space="preserve">Se genera con</w:t>
      </w:r>
      <w:r>
        <w:t xml:space="preserve"> </w:t>
      </w:r>
      <w:r>
        <w:rPr>
          <w:bCs/>
          <w:b/>
        </w:rPr>
        <w:t xml:space="preserve">Inno Setup 6</w:t>
      </w:r>
      <w:r>
        <w:t xml:space="preserve"> </w:t>
      </w:r>
      <w:r>
        <w:t xml:space="preserve">(script</w:t>
      </w:r>
      <w:r>
        <w:t xml:space="preserve"> </w:t>
      </w:r>
      <w:r>
        <w:rPr>
          <w:rStyle w:val="VerbatimChar"/>
        </w:rPr>
        <w:t xml:space="preserve">instalador/ContaBol.iss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crear_instalador.bat x64      (o x86)</w:t>
      </w:r>
    </w:p>
    <w:p>
      <w:pPr>
        <w:pStyle w:val="FirstParagraph"/>
      </w:pPr>
      <w:r>
        <w:t xml:space="preserve">Produce</w:t>
      </w:r>
      <w:r>
        <w:t xml:space="preserve"> </w:t>
      </w:r>
      <w:r>
        <w:rPr>
          <w:rStyle w:val="VerbatimChar"/>
        </w:rPr>
        <w:t xml:space="preserve">instalador\salida\ContaBol_Setup_x64.exe</w:t>
      </w:r>
      <w:r>
        <w:t xml:space="preserve">: instala en</w:t>
      </w:r>
      <w:r>
        <w:t xml:space="preserve"> </w:t>
      </w:r>
      <w:r>
        <w:rPr>
          <w:iCs/>
          <w:i/>
        </w:rPr>
        <w:t xml:space="preserve">Archivos de programa</w:t>
      </w:r>
      <w:r>
        <w:t xml:space="preserve">, crea accesos directos, detecta si falta Access Database Engine y registra el desinstalador.</w:t>
      </w:r>
      <w:r>
        <w:t xml:space="preserve"> </w:t>
      </w:r>
      <w:r>
        <w:t xml:space="preserve">En GitHub, el flujo</w:t>
      </w:r>
      <w:r>
        <w:t xml:space="preserve"> </w:t>
      </w:r>
      <w:r>
        <w:rPr>
          <w:rStyle w:val="VerbatimChar"/>
        </w:rPr>
        <w:t xml:space="preserve">.github/workflows/instalador.yml</w:t>
      </w:r>
      <w:r>
        <w:t xml:space="preserve"> </w:t>
      </w:r>
      <w:r>
        <w:t xml:space="preserve">compila, ejecuta las 57 pruebas y construye ambos instaladores automáticamente en cada push (descargables en</w:t>
      </w:r>
      <w:r>
        <w:t xml:space="preserve"> </w:t>
      </w:r>
      <w:r>
        <w:rPr>
          <w:iCs/>
          <w:i/>
        </w:rPr>
        <w:t xml:space="preserve">Actions &gt; Artifacts</w:t>
      </w:r>
      <w:r>
        <w:t xml:space="preserve">); al crear una etiqueta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los publica en</w:t>
      </w:r>
      <w:r>
        <w:t xml:space="preserve"> </w:t>
      </w:r>
      <w:r>
        <w:rPr>
          <w:iCs/>
          <w:i/>
        </w:rPr>
        <w:t xml:space="preserve">Releases</w:t>
      </w:r>
      <w:r>
        <w:t xml:space="preserve">.</w:t>
      </w:r>
    </w:p>
    <w:p>
      <w:pPr>
        <w:pStyle w:val="CaptionedFigure"/>
      </w:pPr>
      <w:r>
        <w:drawing>
          <wp:inline>
            <wp:extent cx="5334000" cy="1088571"/>
            <wp:effectExtent b="0" l="0" r="0" t="0"/>
            <wp:docPr descr="Flujo de instalación" title="" id="26" name="Picture"/>
            <a:graphic>
              <a:graphicData uri="http://schemas.openxmlformats.org/drawingml/2006/picture">
                <pic:pic>
                  <pic:nvPicPr>
                    <pic:cNvPr descr="img/flujo_instalac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Flujo de instalación</w:t>
      </w:r>
    </w:p>
    <w:bookmarkEnd w:id="28"/>
    <w:bookmarkStart w:id="29" w:name="compilación-manual-y-publicación"/>
    <w:p>
      <w:pPr>
        <w:pStyle w:val="Heading2"/>
      </w:pPr>
      <w:r>
        <w:t xml:space="preserve">3.1 Compilación manual y publicación</w:t>
      </w:r>
    </w:p>
    <w:p>
      <w:pPr>
        <w:pStyle w:val="SourceCode"/>
      </w:pPr>
      <w:r>
        <w:rPr>
          <w:rStyle w:val="VerbatimChar"/>
        </w:rPr>
        <w:t xml:space="preserve">cd ContaBol</w:t>
      </w:r>
      <w:r>
        <w:br/>
      </w:r>
      <w:r>
        <w:rPr>
          <w:rStyle w:val="VerbatimChar"/>
        </w:rPr>
        <w:t xml:space="preserve">dotnet test ContaBol.Tests          # 57 pruebas deben pasar</w:t>
      </w:r>
      <w:r>
        <w:br/>
      </w:r>
      <w:r>
        <w:rPr>
          <w:rStyle w:val="VerbatimChar"/>
        </w:rPr>
        <w:t xml:space="preserve">publicar.bat x64                    # o x86 si su Office/ACE es de 32 bits</w:t>
      </w:r>
    </w:p>
    <w:p>
      <w:pPr>
        <w:pStyle w:val="FirstParagraph"/>
      </w:pPr>
      <w:r>
        <w:t xml:space="preserve">Resultado:</w:t>
      </w:r>
      <w:r>
        <w:t xml:space="preserve"> </w:t>
      </w:r>
      <w:r>
        <w:rPr>
          <w:rStyle w:val="VerbatimChar"/>
        </w:rPr>
        <w:t xml:space="preserve">publicar\win-x64\ContaBol.exe</w:t>
      </w:r>
      <w:r>
        <w:t xml:space="preserve"> </w:t>
      </w:r>
      <w:r>
        <w:t xml:space="preserve">(autocontenido, no requiere instalar .NET). Copie la carpeta completa al equipo destino (ej.</w:t>
      </w:r>
      <w:r>
        <w:t xml:space="preserve"> </w:t>
      </w:r>
      <w:r>
        <w:rPr>
          <w:rStyle w:val="VerbatimChar"/>
        </w:rPr>
        <w:t xml:space="preserve">C:\ContaBol</w:t>
      </w:r>
      <w:r>
        <w:t xml:space="preserve">).</w:t>
      </w:r>
    </w:p>
    <w:bookmarkEnd w:id="29"/>
    <w:bookmarkStart w:id="30" w:name="instalación-en-el-equipo"/>
    <w:p>
      <w:pPr>
        <w:pStyle w:val="Heading2"/>
      </w:pPr>
      <w:r>
        <w:t xml:space="preserve">4. Instalación en el equipo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 instalador:</w:t>
      </w:r>
      <w:r>
        <w:t xml:space="preserve"> </w:t>
      </w:r>
      <w:r>
        <w:t xml:space="preserve">ejecute</w:t>
      </w:r>
      <w:r>
        <w:t xml:space="preserve"> </w:t>
      </w:r>
      <w:r>
        <w:rPr>
          <w:rStyle w:val="VerbatimChar"/>
        </w:rPr>
        <w:t xml:space="preserve">ContaBol_Setup_x64.exe</w:t>
      </w:r>
      <w:r>
        <w:t xml:space="preserve"> </w:t>
      </w:r>
      <w:r>
        <w:t xml:space="preserve">(o x86), siga el asistente y abra ContaBol desde el escritorio. Los pasos siguientes aplican a la instalación manual (carpeta publicada).</w:t>
      </w:r>
    </w:p>
    <w:p>
      <w:pPr>
        <w:numPr>
          <w:ilvl w:val="0"/>
          <w:numId w:val="1002"/>
        </w:numPr>
        <w:pStyle w:val="Compact"/>
      </w:pPr>
      <w:r>
        <w:t xml:space="preserve">Instale Access Database Engine con la misma arquitectura que la aplicación. Si hay Office de 32 bits y necesita ACE de 64, instale con</w:t>
      </w:r>
      <w:r>
        <w:t xml:space="preserve"> </w:t>
      </w:r>
      <w:r>
        <w:rPr>
          <w:rStyle w:val="VerbatimChar"/>
        </w:rPr>
        <w:t xml:space="preserve">AccessDatabaseEngine_X64.exe /quiet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Copie la carpeta publicada. Cree un acceso directo a</w:t>
      </w:r>
      <w:r>
        <w:t xml:space="preserve"> </w:t>
      </w:r>
      <w:r>
        <w:rPr>
          <w:rStyle w:val="VerbatimChar"/>
        </w:rPr>
        <w:t xml:space="preserve">ContaBol.exe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Al primer arranque se crea la carpeta de datos (por defecto en el perfil del usuario; se muestra en</w:t>
      </w:r>
      <w:r>
        <w:t xml:space="preserve"> </w:t>
      </w:r>
      <w:r>
        <w:rPr>
          <w:iCs/>
          <w:i/>
        </w:rPr>
        <w:t xml:space="preserve">Ayuda &gt; Acerca de</w:t>
      </w:r>
      <w:r>
        <w:t xml:space="preserve">). Para red, configure una carpeta compartida en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 </w:t>
      </w:r>
      <w:r>
        <w:t xml:space="preserve">(ruta de datos) con permiso de lectura/escritura para todos los usuarios.</w:t>
      </w:r>
    </w:p>
    <w:p>
      <w:pPr>
        <w:numPr>
          <w:ilvl w:val="0"/>
          <w:numId w:val="1002"/>
        </w:numPr>
        <w:pStyle w:val="Compact"/>
      </w:pPr>
      <w:r>
        <w:t xml:space="preserve">Ingrese con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y cambie la clave (se exige).</w:t>
      </w:r>
    </w:p>
    <w:bookmarkEnd w:id="30"/>
    <w:bookmarkStart w:id="31" w:name="despliegue-en-red-varios-usuarios"/>
    <w:p>
      <w:pPr>
        <w:pStyle w:val="Heading2"/>
      </w:pPr>
      <w:r>
        <w:t xml:space="preserve">5. Despliegue en red (varios usuarios)</w:t>
      </w:r>
    </w:p>
    <w:p>
      <w:pPr>
        <w:numPr>
          <w:ilvl w:val="0"/>
          <w:numId w:val="1003"/>
        </w:numPr>
        <w:pStyle w:val="Compact"/>
      </w:pPr>
      <w:r>
        <w:t xml:space="preserve">Ubicar la carpeta de datos en un servidor de archivos compartido (UNC</w:t>
      </w:r>
      <w:r>
        <w:t xml:space="preserve"> </w:t>
      </w:r>
      <w:r>
        <w:rPr>
          <w:rStyle w:val="VerbatimChar"/>
        </w:rPr>
        <w:t xml:space="preserve">\\servidor\ContaBol\Datos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Access soporta pocos usuarios concurrentes (recomendado ≤ 10). Evite WiFi inestable: puede corromper el</w:t>
      </w:r>
      <w:r>
        <w:t xml:space="preserve"> </w:t>
      </w:r>
      <w:r>
        <w:rPr>
          <w:rStyle w:val="VerbatimChar"/>
        </w:rPr>
        <w:t xml:space="preserve">.accdb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Para mayor concurrencia o volumen, el diseño usa</w:t>
      </w:r>
      <w:r>
        <w:t xml:space="preserve"> </w:t>
      </w:r>
      <w:r>
        <w:rPr>
          <w:rStyle w:val="VerbatimChar"/>
        </w:rPr>
        <w:t xml:space="preserve">IDbProvider</w:t>
      </w:r>
      <w:r>
        <w:t xml:space="preserve">: se puede añadir un proveedor SQL Server sin cambiar los servicios.</w:t>
      </w:r>
    </w:p>
    <w:bookmarkEnd w:id="31"/>
    <w:bookmarkStart w:id="32" w:name="puesta-en-marcha-de-una-empresa"/>
    <w:p>
      <w:pPr>
        <w:pStyle w:val="Heading2"/>
      </w:pPr>
      <w:r>
        <w:t xml:space="preserve">6. Puesta en marcha de una empresa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Archivo &gt; Cambiar de empresa o gestión &gt; Nueva empresa</w:t>
      </w:r>
      <w:r>
        <w:t xml:space="preserve">: razón social, NIT, año, moneda. Se carga el plan de cuentas boliviano base y los parámetros.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Contabilidad &gt; Tipos de cambio y UFV</w:t>
      </w:r>
      <w:r>
        <w:t xml:space="preserve">: cargue T.C. oficial y UFV (al menos al inicio de gestión).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Administración &gt; Parámetros</w:t>
      </w:r>
      <w:r>
        <w:t xml:space="preserve">: verifique cuentas contables asociadas (caja, ventas, IVA débito/crédito, IT, costo de ventas, etc.), y en planillas: salario mínimo nacional, tasas AFP.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Administración &gt; Usuarios y permisos</w:t>
      </w:r>
      <w:r>
        <w:t xml:space="preserve">: cree usuarios, asigne rol (administrador, contador, operador, consulta) y empresas.</w:t>
      </w:r>
    </w:p>
    <w:p>
      <w:pPr>
        <w:numPr>
          <w:ilvl w:val="0"/>
          <w:numId w:val="1004"/>
        </w:numPr>
        <w:pStyle w:val="Compact"/>
      </w:pPr>
      <w:r>
        <w:t xml:space="preserve">Cargue saldos iniciales: asiento de apertura (comprobante de traspaso), stock inicial (</w:t>
      </w:r>
      <w:r>
        <w:rPr>
          <w:iCs/>
          <w:i/>
        </w:rPr>
        <w:t xml:space="preserve">Inventarios &gt; Ajustes, traspasos y stock inicial</w:t>
      </w:r>
      <w:r>
        <w:t xml:space="preserve">), clientes/proveedores con saldos.</w:t>
      </w:r>
    </w:p>
    <w:p>
      <w:pPr>
        <w:numPr>
          <w:ilvl w:val="0"/>
          <w:numId w:val="1004"/>
        </w:numPr>
        <w:pStyle w:val="Compact"/>
      </w:pPr>
      <w:r>
        <w:t xml:space="preserve">Migración desde Orion4 (opcional):</w:t>
      </w:r>
      <w:r>
        <w:t xml:space="preserve"> </w:t>
      </w:r>
      <w:r>
        <w:rPr>
          <w:iCs/>
          <w:i/>
        </w:rPr>
        <w:t xml:space="preserve">Administración &gt; Importar desde Orion4</w:t>
      </w:r>
      <w:r>
        <w:t xml:space="preserve">, seleccione la carpeta de la gestión (con PRU.MDB, ORION.MDB, INVENT.MDB). Se crea una empresa nueva; revise los avisos.</w:t>
      </w:r>
    </w:p>
    <w:bookmarkEnd w:id="32"/>
    <w:bookmarkStart w:id="33" w:name="respaldos-y-recuperación"/>
    <w:p>
      <w:pPr>
        <w:pStyle w:val="Heading2"/>
      </w:pPr>
      <w:r>
        <w:t xml:space="preserve">7. Respaldos y recuperación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Administración &gt; Copias de seguridad</w:t>
      </w:r>
      <w:r>
        <w:t xml:space="preserve">: genera</w:t>
      </w:r>
      <w:r>
        <w:t xml:space="preserve"> </w:t>
      </w:r>
      <w:r>
        <w:rPr>
          <w:rStyle w:val="VerbatimChar"/>
        </w:rPr>
        <w:t xml:space="preserve">.cbk</w:t>
      </w:r>
      <w:r>
        <w:t xml:space="preserve"> </w:t>
      </w:r>
      <w:r>
        <w:t xml:space="preserve">(zip con manifiesto SHA-256) de la empresa/gestión o de todo. Al salir de la aplicación se hace un respaldo automático.</w:t>
      </w:r>
    </w:p>
    <w:p>
      <w:pPr>
        <w:numPr>
          <w:ilvl w:val="0"/>
          <w:numId w:val="1005"/>
        </w:numPr>
        <w:pStyle w:val="Compact"/>
      </w:pPr>
      <w:r>
        <w:t xml:space="preserve">Restaurar: seleccione el</w:t>
      </w:r>
      <w:r>
        <w:t xml:space="preserve"> </w:t>
      </w:r>
      <w:r>
        <w:rPr>
          <w:rStyle w:val="VerbatimChar"/>
        </w:rPr>
        <w:t xml:space="preserve">.cbk</w:t>
      </w:r>
      <w:r>
        <w:t xml:space="preserve">; se verifica la integridad antes de reemplazar. Haga respaldo previo.</w:t>
      </w:r>
    </w:p>
    <w:p>
      <w:pPr>
        <w:numPr>
          <w:ilvl w:val="0"/>
          <w:numId w:val="1005"/>
        </w:numPr>
        <w:pStyle w:val="Compact"/>
      </w:pPr>
      <w:r>
        <w:t xml:space="preserve">Política sugerida: diario a otra unidad, semanal fuera del local, mensual archivado (gestión cerrada).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Utilitarios &gt; Compactar base de datos</w:t>
      </w:r>
      <w:r>
        <w:t xml:space="preserve"> </w:t>
      </w:r>
      <w:r>
        <w:t xml:space="preserve">mensualmente (reduce tamaño y repara).</w:t>
      </w:r>
    </w:p>
    <w:bookmarkEnd w:id="33"/>
    <w:bookmarkStart w:id="34" w:name="mantenimiento-y-soporte"/>
    <w:p>
      <w:pPr>
        <w:pStyle w:val="Heading2"/>
      </w:pPr>
      <w:r>
        <w:t xml:space="preserve">8. Mantenimiento y soporte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Utilitarios &gt; Verificación</w:t>
      </w:r>
      <w:r>
        <w:t xml:space="preserve">: comprobantes descuadrados, balance, cuentas faltantes, T.C./UFV, stock negativo, tamaño del archivo (alerta cerca de 2 GB).</w:t>
      </w:r>
    </w:p>
    <w:p>
      <w:pPr>
        <w:numPr>
          <w:ilvl w:val="0"/>
          <w:numId w:val="1006"/>
        </w:numPr>
        <w:pStyle w:val="Compact"/>
      </w:pPr>
      <w:r>
        <w:t xml:space="preserve">Auditoría:</w:t>
      </w:r>
      <w:r>
        <w:t xml:space="preserve"> </w:t>
      </w:r>
      <w:r>
        <w:rPr>
          <w:iCs/>
          <w:i/>
        </w:rPr>
        <w:t xml:space="preserve">Administración &gt; Auditoría</w:t>
      </w:r>
      <w:r>
        <w:t xml:space="preserve"> </w:t>
      </w:r>
      <w:r>
        <w:t xml:space="preserve">registra usuario, fecha y acción.</w:t>
      </w:r>
    </w:p>
    <w:p>
      <w:pPr>
        <w:numPr>
          <w:ilvl w:val="0"/>
          <w:numId w:val="1006"/>
        </w:numPr>
        <w:pStyle w:val="Compact"/>
      </w:pPr>
      <w:r>
        <w:t xml:space="preserve">Cierre anual: ajuste por inflación → diferencia de cambio → asiento de cierre →</w:t>
      </w:r>
      <w:r>
        <w:t xml:space="preserve"> </w:t>
      </w:r>
      <w:r>
        <w:rPr>
          <w:bCs/>
          <w:b/>
        </w:rPr>
        <w:t xml:space="preserve">Cerrar gestión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Abrir nueva gestión</w:t>
      </w:r>
      <w:r>
        <w:t xml:space="preserve"> </w:t>
      </w:r>
      <w:r>
        <w:t xml:space="preserve">(traslada saldos, existencias, cuentas corrientes y activos).</w:t>
      </w:r>
    </w:p>
    <w:bookmarkEnd w:id="34"/>
    <w:bookmarkStart w:id="35" w:name="seguridad"/>
    <w:p>
      <w:pPr>
        <w:pStyle w:val="Heading2"/>
      </w:pPr>
      <w:r>
        <w:t xml:space="preserve">9. Seguridad</w:t>
      </w:r>
    </w:p>
    <w:p>
      <w:pPr>
        <w:pStyle w:val="FirstParagraph"/>
      </w:pPr>
      <w:r>
        <w:t xml:space="preserve">Claves con PBKDF2; permisos por opción y empresa; gestión cerrada es de solo lectura. Restrinja la carpeta de datos con permisos NTFS y cifre los respaldos externos.</w:t>
      </w:r>
    </w:p>
    <w:bookmarkEnd w:id="35"/>
    <w:bookmarkStart w:id="36" w:name="limitaciones-conocidas"/>
    <w:p>
      <w:pPr>
        <w:pStyle w:val="Heading2"/>
      </w:pPr>
      <w:r>
        <w:t xml:space="preserve">10. Limitaciones conocidas</w:t>
      </w:r>
    </w:p>
    <w:p>
      <w:pPr>
        <w:numPr>
          <w:ilvl w:val="0"/>
          <w:numId w:val="1007"/>
        </w:numPr>
        <w:pStyle w:val="Compact"/>
      </w:pPr>
      <w:r>
        <w:t xml:space="preserve">El proveedor Access/ACE y la interfaz no fueron ejecutados en el entorno de desarrollo (sin Windows); realice las pruebas del</w:t>
      </w:r>
      <w:r>
        <w:t xml:space="preserve"> </w:t>
      </w:r>
      <w:r>
        <w:rPr>
          <w:iCs/>
          <w:i/>
        </w:rPr>
        <w:t xml:space="preserve">Manual de pruebas</w:t>
      </w:r>
      <w:r>
        <w:t xml:space="preserve"> </w:t>
      </w:r>
      <w:r>
        <w:t xml:space="preserve">antes de producción.</w:t>
      </w:r>
    </w:p>
    <w:p>
      <w:pPr>
        <w:numPr>
          <w:ilvl w:val="0"/>
          <w:numId w:val="1007"/>
        </w:numPr>
        <w:pStyle w:val="Compact"/>
      </w:pPr>
      <w:r>
        <w:t xml:space="preserve">Parámetros legales de planillas y alícuotas deben validarse con la norma vigente.</w:t>
      </w:r>
    </w:p>
    <w:p>
      <w:pPr>
        <w:numPr>
          <w:ilvl w:val="0"/>
          <w:numId w:val="1007"/>
        </w:numPr>
        <w:pStyle w:val="Compact"/>
      </w:pPr>
      <w:r>
        <w:t xml:space="preserve">La importación de Orion4 no migra movimientos de inventario.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ContaBol — Manual de implementación</dc:title>
  <dc:creator/>
  <dc:language>es</dc:language>
  <cp:keywords/>
  <dcterms:created xsi:type="dcterms:W3CDTF">2026-10-30T03:12:37Z</dcterms:created>
  <dcterms:modified xsi:type="dcterms:W3CDTF">2026-10-30T03:12:37Z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Instalación, configuración, despliegue y mantenimiento</vt:lpwstr>
  </property>
</Properties>
</file>