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EDF19" w14:textId="77777777" w:rsidR="00E67D03" w:rsidRDefault="00E67D03" w:rsidP="00E67D03">
      <w:pPr>
        <w:pStyle w:val="Heading1"/>
      </w:pPr>
      <w:r>
        <w:br/>
        <w:t>Assignment Extension Form</w:t>
      </w:r>
    </w:p>
    <w:p w14:paraId="6641B8B1" w14:textId="03A48736" w:rsidR="00E67D03" w:rsidRDefault="00E67D03" w:rsidP="00E67D03">
      <w:pPr>
        <w:pStyle w:val="Heading2"/>
      </w:pPr>
      <w:r>
        <w:t xml:space="preserve">Instructions: </w:t>
      </w:r>
      <w:r w:rsidR="00986D4D">
        <w:t>a</w:t>
      </w:r>
      <w:r>
        <w:t>pplying for an extension</w:t>
      </w:r>
    </w:p>
    <w:p w14:paraId="02574CC0" w14:textId="77777777" w:rsidR="00B1080D" w:rsidRPr="00B1080D" w:rsidRDefault="00E67D03" w:rsidP="00B1080D">
      <w:pPr>
        <w:pStyle w:val="ListParagraph"/>
        <w:numPr>
          <w:ilvl w:val="0"/>
          <w:numId w:val="3"/>
        </w:numPr>
        <w:rPr>
          <w:b/>
          <w:bCs/>
        </w:rPr>
      </w:pPr>
      <w:r w:rsidRPr="00B1080D">
        <w:rPr>
          <w:b/>
          <w:bCs/>
        </w:rPr>
        <w:t>Download this form</w:t>
      </w:r>
    </w:p>
    <w:p w14:paraId="6A280B2F" w14:textId="71D84D61" w:rsidR="00E67D03" w:rsidRPr="00B1080D" w:rsidRDefault="00B1080D" w:rsidP="00B1080D">
      <w:pPr>
        <w:pStyle w:val="ListParagraph"/>
        <w:numPr>
          <w:ilvl w:val="0"/>
          <w:numId w:val="3"/>
        </w:numPr>
        <w:rPr>
          <w:b/>
          <w:bCs/>
        </w:rPr>
      </w:pPr>
      <w:r w:rsidRPr="00B1080D">
        <w:rPr>
          <w:b/>
          <w:bCs/>
        </w:rPr>
        <w:t>C</w:t>
      </w:r>
      <w:r w:rsidR="00E67D03" w:rsidRPr="00B1080D">
        <w:rPr>
          <w:b/>
          <w:bCs/>
        </w:rPr>
        <w:t xml:space="preserve">omplete </w:t>
      </w:r>
      <w:r>
        <w:rPr>
          <w:b/>
          <w:bCs/>
        </w:rPr>
        <w:t xml:space="preserve">the </w:t>
      </w:r>
      <w:r w:rsidR="00986D4D" w:rsidRPr="009F191C">
        <w:rPr>
          <w:b/>
          <w:bCs/>
          <w:i/>
          <w:iCs/>
        </w:rPr>
        <w:t>Assignment extension application details</w:t>
      </w:r>
      <w:r w:rsidR="00E67D03" w:rsidRPr="00B1080D">
        <w:rPr>
          <w:b/>
          <w:bCs/>
        </w:rPr>
        <w:t xml:space="preserve"> </w:t>
      </w:r>
    </w:p>
    <w:p w14:paraId="1D41F514" w14:textId="3DBC12BE" w:rsidR="00B1080D" w:rsidRPr="00B1080D" w:rsidRDefault="00E67D03" w:rsidP="00E67D03">
      <w:pPr>
        <w:pStyle w:val="ListParagraph"/>
        <w:numPr>
          <w:ilvl w:val="0"/>
          <w:numId w:val="3"/>
        </w:numPr>
        <w:rPr>
          <w:b/>
          <w:bCs/>
        </w:rPr>
      </w:pPr>
      <w:r w:rsidRPr="00B1080D">
        <w:rPr>
          <w:b/>
          <w:bCs/>
        </w:rPr>
        <w:t xml:space="preserve">Email </w:t>
      </w:r>
      <w:r w:rsidR="00B1080D">
        <w:rPr>
          <w:b/>
          <w:bCs/>
        </w:rPr>
        <w:t>the</w:t>
      </w:r>
      <w:r w:rsidRPr="00B1080D">
        <w:rPr>
          <w:b/>
          <w:bCs/>
        </w:rPr>
        <w:t xml:space="preserve"> completed </w:t>
      </w:r>
      <w:r w:rsidR="00986D4D" w:rsidRPr="00986D4D">
        <w:rPr>
          <w:b/>
          <w:bCs/>
          <w:i/>
          <w:iCs/>
        </w:rPr>
        <w:t>Assignment extension application details</w:t>
      </w:r>
      <w:r w:rsidR="00986D4D" w:rsidRPr="00B1080D">
        <w:rPr>
          <w:b/>
          <w:bCs/>
        </w:rPr>
        <w:t xml:space="preserve"> </w:t>
      </w:r>
      <w:r w:rsidRPr="00B1080D">
        <w:rPr>
          <w:b/>
          <w:bCs/>
        </w:rPr>
        <w:t xml:space="preserve">to your unit convener from your UC </w:t>
      </w:r>
      <w:r w:rsidR="00B1080D">
        <w:rPr>
          <w:b/>
          <w:bCs/>
        </w:rPr>
        <w:t xml:space="preserve">student </w:t>
      </w:r>
      <w:r w:rsidRPr="00B1080D">
        <w:rPr>
          <w:b/>
          <w:bCs/>
        </w:rPr>
        <w:t xml:space="preserve">email account </w:t>
      </w:r>
    </w:p>
    <w:p w14:paraId="0663B312" w14:textId="77777777" w:rsidR="00B1080D" w:rsidRDefault="00B1080D" w:rsidP="00B1080D">
      <w:pPr>
        <w:pStyle w:val="Heading3"/>
        <w:rPr>
          <w:lang w:val="en-GB"/>
        </w:rPr>
      </w:pPr>
      <w:r w:rsidRPr="00B1080D">
        <w:t>Timing</w:t>
      </w:r>
    </w:p>
    <w:p w14:paraId="39D972DC" w14:textId="1D252591" w:rsidR="00B1080D" w:rsidRDefault="00805C7E" w:rsidP="00B1080D">
      <w:pPr>
        <w:pStyle w:val="Heading4"/>
        <w:rPr>
          <w:lang w:val="en-GB"/>
        </w:rPr>
      </w:pPr>
      <w:r>
        <w:rPr>
          <w:lang w:val="en-GB"/>
        </w:rPr>
        <w:t>Extenuating Circumstances (reasons for extension)</w:t>
      </w:r>
      <w:r w:rsidR="00B1080D">
        <w:rPr>
          <w:lang w:val="en-GB"/>
        </w:rPr>
        <w:t xml:space="preserve"> </w:t>
      </w:r>
      <w:r w:rsidR="00986D4D">
        <w:rPr>
          <w:lang w:val="en-GB"/>
        </w:rPr>
        <w:t>(unanticipated)</w:t>
      </w:r>
      <w:r w:rsidR="00B1080D">
        <w:rPr>
          <w:lang w:val="en-GB"/>
        </w:rPr>
        <w:t xml:space="preserve"> </w:t>
      </w:r>
    </w:p>
    <w:p w14:paraId="66183A09" w14:textId="25DF2022" w:rsidR="00B1080D" w:rsidRDefault="00B1080D" w:rsidP="00E67D03">
      <w:pPr>
        <w:rPr>
          <w:lang w:val="en-GB"/>
        </w:rPr>
      </w:pPr>
      <w:r w:rsidRPr="00B1080D">
        <w:rPr>
          <w:b/>
          <w:bCs/>
          <w:lang w:val="en-GB"/>
        </w:rPr>
        <w:t>Earliest possible</w:t>
      </w:r>
      <w:r>
        <w:rPr>
          <w:lang w:val="en-GB"/>
        </w:rPr>
        <w:t>: A</w:t>
      </w:r>
      <w:r w:rsidR="00E67D03">
        <w:rPr>
          <w:lang w:val="en-GB"/>
        </w:rPr>
        <w:t xml:space="preserve">pplications for extension must be submitted to the unit convener </w:t>
      </w:r>
      <w:r w:rsidR="00E67D03">
        <w:rPr>
          <w:i/>
          <w:iCs/>
          <w:lang w:val="en-GB"/>
        </w:rPr>
        <w:t>at the earliest possible opportunity</w:t>
      </w:r>
      <w:r w:rsidR="00E67D03">
        <w:rPr>
          <w:lang w:val="en-GB"/>
        </w:rPr>
        <w:t xml:space="preserve"> in the case of circumstances considered to be unanticipated, extenuating and exceptional. </w:t>
      </w:r>
    </w:p>
    <w:p w14:paraId="4A775C7C" w14:textId="0D067E06" w:rsidR="00B1080D" w:rsidRDefault="00805C7E" w:rsidP="00B1080D">
      <w:pPr>
        <w:pStyle w:val="Heading4"/>
        <w:rPr>
          <w:lang w:val="en-GB"/>
        </w:rPr>
      </w:pPr>
      <w:r>
        <w:rPr>
          <w:lang w:val="en-GB"/>
        </w:rPr>
        <w:t xml:space="preserve">Extenuating Circumstances (reasons for extension) </w:t>
      </w:r>
      <w:r w:rsidR="00986D4D">
        <w:rPr>
          <w:lang w:val="en-GB"/>
        </w:rPr>
        <w:t>(prior arrangements</w:t>
      </w:r>
      <w:r w:rsidR="00E740A1">
        <w:rPr>
          <w:lang w:val="en-GB"/>
        </w:rPr>
        <w:t>*</w:t>
      </w:r>
      <w:r w:rsidR="00986D4D">
        <w:rPr>
          <w:lang w:val="en-GB"/>
        </w:rPr>
        <w:t>)</w:t>
      </w:r>
      <w:r w:rsidR="00B1080D">
        <w:rPr>
          <w:lang w:val="en-GB"/>
        </w:rPr>
        <w:t xml:space="preserve"> </w:t>
      </w:r>
    </w:p>
    <w:p w14:paraId="6023EC7E" w14:textId="7BE078A3" w:rsidR="00E67D03" w:rsidRDefault="00B1080D" w:rsidP="00E67D03">
      <w:pPr>
        <w:rPr>
          <w:lang w:val="en-GB"/>
        </w:rPr>
      </w:pPr>
      <w:r w:rsidRPr="00B1080D">
        <w:rPr>
          <w:b/>
          <w:bCs/>
          <w:lang w:val="en-GB"/>
        </w:rPr>
        <w:t>5 working days before due date</w:t>
      </w:r>
      <w:r>
        <w:rPr>
          <w:lang w:val="en-GB"/>
        </w:rPr>
        <w:t xml:space="preserve">: </w:t>
      </w:r>
      <w:r w:rsidR="00E67D03">
        <w:rPr>
          <w:lang w:val="en-GB"/>
        </w:rPr>
        <w:t xml:space="preserve">For anticipated events or circumstances which have a defined time, notification must be lodged </w:t>
      </w:r>
      <w:r w:rsidR="00E67D03">
        <w:rPr>
          <w:i/>
          <w:iCs/>
          <w:lang w:val="en-GB"/>
        </w:rPr>
        <w:t>no later than 5 working days before the scheduled due date</w:t>
      </w:r>
      <w:r w:rsidR="00E67D03">
        <w:rPr>
          <w:lang w:val="en-GB"/>
        </w:rPr>
        <w:t xml:space="preserve"> of the assessment. </w:t>
      </w:r>
    </w:p>
    <w:p w14:paraId="5D3489BE" w14:textId="4D1D5816" w:rsidR="00B1080D" w:rsidRDefault="00805C7E" w:rsidP="00B1080D">
      <w:r w:rsidRPr="00805C7E">
        <w:rPr>
          <w:b/>
          <w:bCs/>
        </w:rPr>
        <w:t>Supporting evidence</w:t>
      </w:r>
      <w:r>
        <w:t xml:space="preserve">: </w:t>
      </w:r>
      <w:r w:rsidR="0061404B">
        <w:t>S</w:t>
      </w:r>
      <w:r>
        <w:t xml:space="preserve">upporting </w:t>
      </w:r>
      <w:r w:rsidR="00E67D03" w:rsidRPr="00391566">
        <w:t xml:space="preserve">documentary evidence is required to support an application for an assessment extension (see below for further information). If it is impossible to provide original documentary evidence, a </w:t>
      </w:r>
      <w:hyperlink r:id="rId11" w:history="1">
        <w:r w:rsidR="00E67D03" w:rsidRPr="00391566">
          <w:rPr>
            <w:rStyle w:val="Hyperlink"/>
          </w:rPr>
          <w:t>statutory declaration</w:t>
        </w:r>
      </w:hyperlink>
      <w:r w:rsidR="00E67D03" w:rsidRPr="00391566">
        <w:t xml:space="preserve"> </w:t>
      </w:r>
      <w:r w:rsidR="00E67D03" w:rsidRPr="00986D4D">
        <w:rPr>
          <w:i/>
          <w:iCs/>
        </w:rPr>
        <w:t>may</w:t>
      </w:r>
      <w:r w:rsidR="00E67D03" w:rsidRPr="00391566">
        <w:t xml:space="preserve"> be accepted as an alternative.</w:t>
      </w:r>
    </w:p>
    <w:p w14:paraId="79C92EC3" w14:textId="77777777" w:rsidR="00E740A1" w:rsidRDefault="00E740A1" w:rsidP="00B1080D"/>
    <w:p w14:paraId="66635D7D" w14:textId="77777777" w:rsidR="00E740A1" w:rsidRDefault="00E740A1" w:rsidP="00E740A1">
      <w:pPr>
        <w:rPr>
          <w:b/>
          <w:bCs/>
        </w:rPr>
      </w:pPr>
      <w:r>
        <w:t xml:space="preserve">*The nature of some student’s disability or ongoing health condition may mean that their inability to complete an assignment by the due date should be considered and treated as unanticipated and in that case the expectation is that </w:t>
      </w:r>
      <w:r w:rsidRPr="0036174F">
        <w:rPr>
          <w:b/>
          <w:bCs/>
        </w:rPr>
        <w:t>Notification to the unit convener is required as soon as possible after the event or before the event where circumstances allow.</w:t>
      </w:r>
    </w:p>
    <w:p w14:paraId="06AAED6F" w14:textId="77777777" w:rsidR="00E740A1" w:rsidRDefault="00E740A1" w:rsidP="00B1080D"/>
    <w:p w14:paraId="1275B82C" w14:textId="77777777" w:rsidR="00E67D03" w:rsidRPr="00391566" w:rsidRDefault="00E67D03" w:rsidP="00E67D03">
      <w:pPr>
        <w:pStyle w:val="Heading3"/>
      </w:pPr>
      <w:r>
        <w:t>Privacy</w:t>
      </w:r>
    </w:p>
    <w:p w14:paraId="49273CB6" w14:textId="77777777" w:rsidR="00E67D03" w:rsidRPr="00B1080D" w:rsidRDefault="00E67D03" w:rsidP="00B1080D">
      <w:pPr>
        <w:rPr>
          <w:i/>
          <w:iCs/>
        </w:rPr>
      </w:pPr>
      <w:r w:rsidRPr="00391566">
        <w:rPr>
          <w:i/>
          <w:iCs/>
        </w:rPr>
        <w:t>The University of Canberra is subject to the provisions of the Commonwealth Privacy Act 1988</w:t>
      </w:r>
      <w:r w:rsidR="00B1080D">
        <w:rPr>
          <w:i/>
          <w:iCs/>
        </w:rPr>
        <w:t>.</w:t>
      </w:r>
      <w:r w:rsidRPr="00391566">
        <w:rPr>
          <w:i/>
          <w:iCs/>
        </w:rPr>
        <w:t xml:space="preserve"> </w:t>
      </w:r>
      <w:r w:rsidR="00B1080D">
        <w:rPr>
          <w:i/>
          <w:iCs/>
        </w:rPr>
        <w:t>Y</w:t>
      </w:r>
      <w:r w:rsidRPr="00391566">
        <w:rPr>
          <w:i/>
          <w:iCs/>
        </w:rPr>
        <w:t xml:space="preserve">ou are entitled to protection of your personal information. </w:t>
      </w:r>
      <w:r w:rsidR="00B1080D">
        <w:rPr>
          <w:i/>
          <w:iCs/>
        </w:rPr>
        <w:t>Any</w:t>
      </w:r>
      <w:r w:rsidRPr="00391566">
        <w:rPr>
          <w:i/>
          <w:iCs/>
        </w:rPr>
        <w:t xml:space="preserve"> information the University collects about you, including personal details, academic progress details, and personal welfare information, is treated by the University according to strict guidelines which are set out in the Australian Privacy Principles (the APPs). </w:t>
      </w:r>
      <w:r w:rsidR="00B1080D">
        <w:rPr>
          <w:i/>
          <w:iCs/>
        </w:rPr>
        <w:t>We</w:t>
      </w:r>
      <w:r w:rsidRPr="00391566">
        <w:rPr>
          <w:i/>
          <w:iCs/>
        </w:rPr>
        <w:t xml:space="preserve"> do not use or disclose any personal information we hold about you, including your address, or your results, even to close relatives, without your permission or as permitted by the APPs. </w:t>
      </w:r>
      <w:r w:rsidR="00B1080D">
        <w:rPr>
          <w:i/>
          <w:iCs/>
        </w:rPr>
        <w:t>See the</w:t>
      </w:r>
      <w:r w:rsidRPr="00391566">
        <w:rPr>
          <w:i/>
          <w:iCs/>
        </w:rPr>
        <w:t xml:space="preserve"> </w:t>
      </w:r>
      <w:hyperlink r:id="rId12" w:history="1">
        <w:r w:rsidRPr="00391566">
          <w:rPr>
            <w:rStyle w:val="Hyperlink"/>
            <w:i/>
            <w:iCs/>
          </w:rPr>
          <w:t>University of Canberra Privacy Policy</w:t>
        </w:r>
      </w:hyperlink>
      <w:r w:rsidRPr="00391566">
        <w:rPr>
          <w:i/>
          <w:iCs/>
        </w:rPr>
        <w:t xml:space="preserve"> at or telephone the Privacy Contact Officer at the University of Canberra on 02 6201 5111 or email at </w:t>
      </w:r>
      <w:hyperlink r:id="rId13" w:history="1">
        <w:r w:rsidRPr="00391566">
          <w:rPr>
            <w:rStyle w:val="Hyperlink"/>
            <w:i/>
            <w:iCs/>
          </w:rPr>
          <w:t>privacy@canberra.edu.au</w:t>
        </w:r>
      </w:hyperlink>
      <w:r w:rsidRPr="00391566">
        <w:rPr>
          <w:i/>
          <w:iCs/>
        </w:rPr>
        <w:t>.</w:t>
      </w:r>
    </w:p>
    <w:p w14:paraId="14BBBF6B" w14:textId="77777777" w:rsidR="009F191C" w:rsidRDefault="009F191C">
      <w:pPr>
        <w:spacing w:before="0" w:after="200" w:line="276" w:lineRule="auto"/>
        <w:rPr>
          <w:rFonts w:asciiTheme="majorHAnsi" w:eastAsiaTheme="majorEastAsia" w:hAnsiTheme="majorHAnsi" w:cstheme="majorBidi"/>
          <w:b/>
          <w:bCs/>
          <w:color w:val="00A9CE" w:themeColor="accent1"/>
          <w:sz w:val="32"/>
          <w:lang w:val="en-GB"/>
        </w:rPr>
      </w:pPr>
      <w:r>
        <w:rPr>
          <w:lang w:val="en-GB"/>
        </w:rPr>
        <w:br w:type="page"/>
      </w:r>
    </w:p>
    <w:p w14:paraId="0150EBF6" w14:textId="4235604A" w:rsidR="00E67D03" w:rsidRDefault="00E67D03" w:rsidP="00E67D03">
      <w:pPr>
        <w:pStyle w:val="Heading3"/>
        <w:rPr>
          <w:lang w:val="en-GB"/>
        </w:rPr>
      </w:pPr>
      <w:r>
        <w:rPr>
          <w:lang w:val="en-GB"/>
        </w:rPr>
        <w:lastRenderedPageBreak/>
        <w:t>Assignment extension application details</w:t>
      </w:r>
      <w:r>
        <w:rPr>
          <w:rFonts w:ascii="MS Gothic" w:eastAsia="MS Gothic" w:hAnsi="MS Gothic" w:cs="MS Gothic" w:hint="eastAsia"/>
          <w:lang w:val="en-GB"/>
        </w:rPr>
        <w:t> </w:t>
      </w:r>
    </w:p>
    <w:tbl>
      <w:tblPr>
        <w:tblW w:w="10490" w:type="dxa"/>
        <w:tblInd w:w="-5" w:type="dxa"/>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3969"/>
        <w:gridCol w:w="6521"/>
      </w:tblGrid>
      <w:tr w:rsidR="00E67D03" w14:paraId="0C084AE4" w14:textId="77777777" w:rsidTr="00E67D03">
        <w:tc>
          <w:tcPr>
            <w:tcW w:w="3969" w:type="dxa"/>
            <w:tcBorders>
              <w:top w:val="single" w:sz="4" w:space="0" w:color="BFBFBF"/>
              <w:bottom w:val="single" w:sz="4" w:space="0" w:color="BFBFBF"/>
              <w:right w:val="single" w:sz="4" w:space="0" w:color="BFBFBF"/>
            </w:tcBorders>
            <w:tcMar>
              <w:top w:w="100" w:type="nil"/>
              <w:right w:w="100" w:type="nil"/>
            </w:tcMar>
          </w:tcPr>
          <w:p w14:paraId="1878E7AE" w14:textId="77777777" w:rsidR="00E67D03" w:rsidRPr="00944754" w:rsidRDefault="00E67D03" w:rsidP="00A41FCC">
            <w:pPr>
              <w:rPr>
                <w:b/>
                <w:bCs/>
              </w:rPr>
            </w:pPr>
            <w:r w:rsidRPr="00944754">
              <w:rPr>
                <w:b/>
                <w:bCs/>
              </w:rPr>
              <w:t xml:space="preserve">Student ID </w:t>
            </w:r>
            <w:r w:rsidRPr="00944754">
              <w:rPr>
                <w:b/>
                <w:bCs/>
              </w:rPr>
              <w:tab/>
            </w:r>
          </w:p>
        </w:tc>
        <w:tc>
          <w:tcPr>
            <w:tcW w:w="6521" w:type="dxa"/>
            <w:tcBorders>
              <w:top w:val="single" w:sz="4" w:space="0" w:color="BFBFBF"/>
              <w:left w:val="single" w:sz="4" w:space="0" w:color="BFBFBF"/>
              <w:bottom w:val="single" w:sz="4" w:space="0" w:color="BFBFBF"/>
            </w:tcBorders>
            <w:tcMar>
              <w:top w:w="100" w:type="nil"/>
              <w:right w:w="100" w:type="nil"/>
            </w:tcMar>
          </w:tcPr>
          <w:p w14:paraId="715CB13C" w14:textId="77777777" w:rsidR="00E67D03" w:rsidRPr="00944754" w:rsidRDefault="00E67D03" w:rsidP="00A41FCC"/>
        </w:tc>
      </w:tr>
      <w:tr w:rsidR="00E67D03" w14:paraId="501F6F3E" w14:textId="77777777" w:rsidTr="00E67D03">
        <w:tblPrEx>
          <w:tblBorders>
            <w:top w:val="none" w:sz="0" w:space="0" w:color="auto"/>
          </w:tblBorders>
        </w:tblPrEx>
        <w:tc>
          <w:tcPr>
            <w:tcW w:w="3969" w:type="dxa"/>
            <w:tcBorders>
              <w:top w:val="single" w:sz="4" w:space="0" w:color="BFBFBF"/>
              <w:bottom w:val="single" w:sz="4" w:space="0" w:color="BFBFBF"/>
              <w:right w:val="single" w:sz="4" w:space="0" w:color="BFBFBF"/>
            </w:tcBorders>
            <w:tcMar>
              <w:top w:w="100" w:type="nil"/>
              <w:right w:w="100" w:type="nil"/>
            </w:tcMar>
          </w:tcPr>
          <w:p w14:paraId="352DC0E7" w14:textId="77777777" w:rsidR="00E67D03" w:rsidRPr="00944754" w:rsidRDefault="00E67D03" w:rsidP="00A41FCC">
            <w:pPr>
              <w:rPr>
                <w:b/>
                <w:bCs/>
              </w:rPr>
            </w:pPr>
            <w:r w:rsidRPr="00944754">
              <w:rPr>
                <w:b/>
                <w:bCs/>
              </w:rPr>
              <w:t xml:space="preserve">Student </w:t>
            </w:r>
            <w:r>
              <w:rPr>
                <w:b/>
                <w:bCs/>
              </w:rPr>
              <w:t>n</w:t>
            </w:r>
            <w:r w:rsidRPr="00944754">
              <w:rPr>
                <w:b/>
                <w:bCs/>
              </w:rPr>
              <w:t xml:space="preserve">ame </w:t>
            </w:r>
          </w:p>
        </w:tc>
        <w:tc>
          <w:tcPr>
            <w:tcW w:w="6521" w:type="dxa"/>
            <w:tcBorders>
              <w:top w:val="single" w:sz="4" w:space="0" w:color="BFBFBF"/>
              <w:left w:val="single" w:sz="4" w:space="0" w:color="BFBFBF"/>
              <w:bottom w:val="single" w:sz="4" w:space="0" w:color="BFBFBF"/>
            </w:tcBorders>
            <w:tcMar>
              <w:top w:w="100" w:type="nil"/>
              <w:right w:w="100" w:type="nil"/>
            </w:tcMar>
          </w:tcPr>
          <w:p w14:paraId="374E40F9" w14:textId="77777777" w:rsidR="00E67D03" w:rsidRPr="00944754" w:rsidRDefault="00E67D03" w:rsidP="00A41FCC"/>
        </w:tc>
      </w:tr>
      <w:tr w:rsidR="00E67D03" w14:paraId="78265C77" w14:textId="77777777" w:rsidTr="00E67D03">
        <w:tblPrEx>
          <w:tblBorders>
            <w:top w:val="none" w:sz="0" w:space="0" w:color="auto"/>
          </w:tblBorders>
        </w:tblPrEx>
        <w:tc>
          <w:tcPr>
            <w:tcW w:w="3969" w:type="dxa"/>
            <w:tcBorders>
              <w:top w:val="single" w:sz="4" w:space="0" w:color="BFBFBF"/>
              <w:bottom w:val="single" w:sz="4" w:space="0" w:color="BFBFBF"/>
              <w:right w:val="single" w:sz="4" w:space="0" w:color="BFBFBF"/>
            </w:tcBorders>
            <w:tcMar>
              <w:top w:w="100" w:type="nil"/>
              <w:right w:w="100" w:type="nil"/>
            </w:tcMar>
          </w:tcPr>
          <w:p w14:paraId="60FB6EBE" w14:textId="77777777" w:rsidR="00E67D03" w:rsidRPr="00944754" w:rsidRDefault="00E67D03" w:rsidP="00A41FCC">
            <w:pPr>
              <w:rPr>
                <w:b/>
                <w:bCs/>
              </w:rPr>
            </w:pPr>
            <w:r w:rsidRPr="00944754">
              <w:rPr>
                <w:b/>
                <w:bCs/>
              </w:rPr>
              <w:t xml:space="preserve">Student UC email address </w:t>
            </w:r>
            <w:r w:rsidRPr="00944754">
              <w:rPr>
                <w:rFonts w:ascii="MS Gothic" w:eastAsia="MS Gothic" w:hAnsi="MS Gothic" w:cs="MS Gothic" w:hint="eastAsia"/>
                <w:b/>
                <w:bCs/>
              </w:rPr>
              <w:t> </w:t>
            </w:r>
            <w:r w:rsidRPr="00944754">
              <w:rPr>
                <w:b/>
                <w:bCs/>
              </w:rPr>
              <w:t>(e.g. u3029xxx@uni.canberra.edu.au)</w:t>
            </w:r>
          </w:p>
        </w:tc>
        <w:tc>
          <w:tcPr>
            <w:tcW w:w="6521" w:type="dxa"/>
            <w:tcBorders>
              <w:top w:val="single" w:sz="4" w:space="0" w:color="BFBFBF"/>
              <w:left w:val="single" w:sz="4" w:space="0" w:color="BFBFBF"/>
              <w:bottom w:val="single" w:sz="4" w:space="0" w:color="BFBFBF"/>
            </w:tcBorders>
            <w:tcMar>
              <w:top w:w="100" w:type="nil"/>
              <w:right w:w="100" w:type="nil"/>
            </w:tcMar>
          </w:tcPr>
          <w:p w14:paraId="28D46B55" w14:textId="77777777" w:rsidR="00E67D03" w:rsidRPr="00944754" w:rsidRDefault="00E67D03" w:rsidP="00A41FCC"/>
        </w:tc>
      </w:tr>
      <w:tr w:rsidR="00E67D03" w14:paraId="0A1A93D0" w14:textId="77777777" w:rsidTr="00E67D03">
        <w:tblPrEx>
          <w:tblBorders>
            <w:top w:val="none" w:sz="0" w:space="0" w:color="auto"/>
          </w:tblBorders>
        </w:tblPrEx>
        <w:tc>
          <w:tcPr>
            <w:tcW w:w="3969" w:type="dxa"/>
            <w:tcBorders>
              <w:top w:val="single" w:sz="4" w:space="0" w:color="BFBFBF"/>
              <w:bottom w:val="single" w:sz="4" w:space="0" w:color="BFBFBF"/>
              <w:right w:val="single" w:sz="4" w:space="0" w:color="BFBFBF"/>
            </w:tcBorders>
            <w:tcMar>
              <w:top w:w="100" w:type="nil"/>
              <w:right w:w="100" w:type="nil"/>
            </w:tcMar>
            <w:vAlign w:val="center"/>
          </w:tcPr>
          <w:p w14:paraId="72B63118" w14:textId="77777777" w:rsidR="00E67D03" w:rsidRPr="00944754" w:rsidRDefault="00E67D03" w:rsidP="00A41FCC">
            <w:pPr>
              <w:rPr>
                <w:b/>
                <w:bCs/>
              </w:rPr>
            </w:pPr>
            <w:r w:rsidRPr="00944754">
              <w:rPr>
                <w:b/>
                <w:bCs/>
              </w:rPr>
              <w:t xml:space="preserve">Unit </w:t>
            </w:r>
            <w:r>
              <w:rPr>
                <w:b/>
                <w:bCs/>
              </w:rPr>
              <w:t>c</w:t>
            </w:r>
            <w:r w:rsidRPr="00944754">
              <w:rPr>
                <w:b/>
                <w:bCs/>
              </w:rPr>
              <w:t xml:space="preserve">ode </w:t>
            </w:r>
          </w:p>
        </w:tc>
        <w:tc>
          <w:tcPr>
            <w:tcW w:w="6521" w:type="dxa"/>
            <w:tcBorders>
              <w:top w:val="single" w:sz="4" w:space="0" w:color="BFBFBF"/>
              <w:left w:val="single" w:sz="4" w:space="0" w:color="BFBFBF"/>
              <w:bottom w:val="single" w:sz="4" w:space="0" w:color="BFBFBF"/>
            </w:tcBorders>
            <w:tcMar>
              <w:top w:w="100" w:type="nil"/>
              <w:right w:w="100" w:type="nil"/>
            </w:tcMar>
          </w:tcPr>
          <w:p w14:paraId="52866D43" w14:textId="77777777" w:rsidR="00E67D03" w:rsidRPr="00944754" w:rsidRDefault="00E67D03" w:rsidP="00A41FCC"/>
        </w:tc>
      </w:tr>
      <w:tr w:rsidR="00E67D03" w14:paraId="736E3ABB" w14:textId="77777777" w:rsidTr="00E67D03">
        <w:tblPrEx>
          <w:tblBorders>
            <w:top w:val="none" w:sz="0" w:space="0" w:color="auto"/>
          </w:tblBorders>
        </w:tblPrEx>
        <w:tc>
          <w:tcPr>
            <w:tcW w:w="3969" w:type="dxa"/>
            <w:tcBorders>
              <w:top w:val="single" w:sz="4" w:space="0" w:color="BFBFBF"/>
              <w:bottom w:val="single" w:sz="4" w:space="0" w:color="BFBFBF"/>
              <w:right w:val="single" w:sz="4" w:space="0" w:color="BFBFBF"/>
            </w:tcBorders>
            <w:tcMar>
              <w:top w:w="100" w:type="nil"/>
              <w:right w:w="100" w:type="nil"/>
            </w:tcMar>
            <w:vAlign w:val="center"/>
          </w:tcPr>
          <w:p w14:paraId="38A53854" w14:textId="77777777" w:rsidR="00E67D03" w:rsidRPr="00944754" w:rsidRDefault="00E67D03" w:rsidP="00A41FCC">
            <w:pPr>
              <w:rPr>
                <w:b/>
                <w:bCs/>
              </w:rPr>
            </w:pPr>
            <w:r w:rsidRPr="00944754">
              <w:rPr>
                <w:b/>
                <w:bCs/>
              </w:rPr>
              <w:t xml:space="preserve">Unit </w:t>
            </w:r>
            <w:r>
              <w:rPr>
                <w:b/>
                <w:bCs/>
              </w:rPr>
              <w:t>n</w:t>
            </w:r>
            <w:r w:rsidRPr="00944754">
              <w:rPr>
                <w:b/>
                <w:bCs/>
              </w:rPr>
              <w:t xml:space="preserve">ame </w:t>
            </w:r>
          </w:p>
        </w:tc>
        <w:tc>
          <w:tcPr>
            <w:tcW w:w="6521" w:type="dxa"/>
            <w:tcBorders>
              <w:top w:val="single" w:sz="4" w:space="0" w:color="BFBFBF"/>
              <w:left w:val="single" w:sz="4" w:space="0" w:color="BFBFBF"/>
              <w:bottom w:val="single" w:sz="4" w:space="0" w:color="BFBFBF"/>
            </w:tcBorders>
            <w:tcMar>
              <w:top w:w="100" w:type="nil"/>
              <w:right w:w="100" w:type="nil"/>
            </w:tcMar>
          </w:tcPr>
          <w:p w14:paraId="356EB6F9" w14:textId="77777777" w:rsidR="00E67D03" w:rsidRPr="00944754" w:rsidRDefault="00E67D03" w:rsidP="00A41FCC"/>
        </w:tc>
      </w:tr>
      <w:tr w:rsidR="00E67D03" w14:paraId="11823042" w14:textId="77777777" w:rsidTr="00E67D03">
        <w:tblPrEx>
          <w:tblBorders>
            <w:top w:val="none" w:sz="0" w:space="0" w:color="auto"/>
          </w:tblBorders>
        </w:tblPrEx>
        <w:tc>
          <w:tcPr>
            <w:tcW w:w="3969" w:type="dxa"/>
            <w:tcBorders>
              <w:top w:val="single" w:sz="4" w:space="0" w:color="BFBFBF"/>
              <w:bottom w:val="single" w:sz="4" w:space="0" w:color="BFBFBF"/>
              <w:right w:val="single" w:sz="4" w:space="0" w:color="BFBFBF"/>
            </w:tcBorders>
            <w:tcMar>
              <w:top w:w="100" w:type="nil"/>
              <w:right w:w="100" w:type="nil"/>
            </w:tcMar>
            <w:vAlign w:val="center"/>
          </w:tcPr>
          <w:p w14:paraId="66D014B0" w14:textId="77777777" w:rsidR="00E67D03" w:rsidRPr="00944754" w:rsidRDefault="00E67D03" w:rsidP="00A41FCC">
            <w:pPr>
              <w:rPr>
                <w:b/>
                <w:bCs/>
              </w:rPr>
            </w:pPr>
            <w:r w:rsidRPr="00944754">
              <w:rPr>
                <w:b/>
                <w:bCs/>
              </w:rPr>
              <w:t xml:space="preserve">Unit </w:t>
            </w:r>
            <w:r>
              <w:rPr>
                <w:b/>
                <w:bCs/>
              </w:rPr>
              <w:t>c</w:t>
            </w:r>
            <w:r w:rsidRPr="00944754">
              <w:rPr>
                <w:b/>
                <w:bCs/>
              </w:rPr>
              <w:t xml:space="preserve">onvener </w:t>
            </w:r>
          </w:p>
        </w:tc>
        <w:tc>
          <w:tcPr>
            <w:tcW w:w="6521" w:type="dxa"/>
            <w:tcBorders>
              <w:top w:val="single" w:sz="4" w:space="0" w:color="BFBFBF"/>
              <w:left w:val="single" w:sz="4" w:space="0" w:color="BFBFBF"/>
              <w:bottom w:val="single" w:sz="4" w:space="0" w:color="BFBFBF"/>
            </w:tcBorders>
            <w:tcMar>
              <w:top w:w="100" w:type="nil"/>
              <w:right w:w="100" w:type="nil"/>
            </w:tcMar>
          </w:tcPr>
          <w:p w14:paraId="57B68E69" w14:textId="77777777" w:rsidR="00E67D03" w:rsidRPr="00944754" w:rsidRDefault="00E67D03" w:rsidP="00A41FCC"/>
        </w:tc>
      </w:tr>
      <w:tr w:rsidR="00E67D03" w14:paraId="2CC6D315" w14:textId="77777777" w:rsidTr="00E67D03">
        <w:tblPrEx>
          <w:tblBorders>
            <w:top w:val="none" w:sz="0" w:space="0" w:color="auto"/>
          </w:tblBorders>
        </w:tblPrEx>
        <w:tc>
          <w:tcPr>
            <w:tcW w:w="3969" w:type="dxa"/>
            <w:tcBorders>
              <w:top w:val="single" w:sz="4" w:space="0" w:color="BFBFBF"/>
              <w:bottom w:val="single" w:sz="4" w:space="0" w:color="BFBFBF"/>
              <w:right w:val="single" w:sz="4" w:space="0" w:color="BFBFBF"/>
            </w:tcBorders>
            <w:tcMar>
              <w:top w:w="100" w:type="nil"/>
              <w:right w:w="100" w:type="nil"/>
            </w:tcMar>
            <w:vAlign w:val="center"/>
          </w:tcPr>
          <w:p w14:paraId="4A820CD9" w14:textId="77777777" w:rsidR="00E67D03" w:rsidRPr="00944754" w:rsidRDefault="00E67D03" w:rsidP="00A41FCC">
            <w:pPr>
              <w:rPr>
                <w:b/>
                <w:bCs/>
              </w:rPr>
            </w:pPr>
            <w:r>
              <w:rPr>
                <w:b/>
                <w:bCs/>
              </w:rPr>
              <w:t xml:space="preserve">Teaching period </w:t>
            </w:r>
            <w:r w:rsidRPr="00944754">
              <w:rPr>
                <w:b/>
                <w:bCs/>
              </w:rPr>
              <w:t xml:space="preserve">and </w:t>
            </w:r>
            <w:r>
              <w:rPr>
                <w:b/>
                <w:bCs/>
              </w:rPr>
              <w:t>y</w:t>
            </w:r>
            <w:r w:rsidRPr="00944754">
              <w:rPr>
                <w:b/>
                <w:bCs/>
              </w:rPr>
              <w:t>ear</w:t>
            </w:r>
          </w:p>
        </w:tc>
        <w:tc>
          <w:tcPr>
            <w:tcW w:w="6521" w:type="dxa"/>
            <w:tcBorders>
              <w:top w:val="single" w:sz="4" w:space="0" w:color="BFBFBF"/>
              <w:left w:val="single" w:sz="4" w:space="0" w:color="BFBFBF"/>
              <w:bottom w:val="single" w:sz="4" w:space="0" w:color="BFBFBF"/>
            </w:tcBorders>
            <w:tcMar>
              <w:top w:w="100" w:type="nil"/>
              <w:right w:w="100" w:type="nil"/>
            </w:tcMar>
          </w:tcPr>
          <w:p w14:paraId="7A33B57F" w14:textId="77777777" w:rsidR="00E67D03" w:rsidRPr="00944754" w:rsidRDefault="00E67D03" w:rsidP="00A41FCC"/>
        </w:tc>
      </w:tr>
      <w:tr w:rsidR="00E67D03" w14:paraId="08FA5DE7" w14:textId="77777777" w:rsidTr="00E67D03">
        <w:tblPrEx>
          <w:tblBorders>
            <w:top w:val="none" w:sz="0" w:space="0" w:color="auto"/>
          </w:tblBorders>
        </w:tblPrEx>
        <w:tc>
          <w:tcPr>
            <w:tcW w:w="3969" w:type="dxa"/>
            <w:tcBorders>
              <w:top w:val="single" w:sz="4" w:space="0" w:color="BFBFBF"/>
              <w:bottom w:val="single" w:sz="4" w:space="0" w:color="BFBFBF"/>
              <w:right w:val="single" w:sz="4" w:space="0" w:color="BFBFBF"/>
            </w:tcBorders>
            <w:tcMar>
              <w:top w:w="100" w:type="nil"/>
              <w:right w:w="100" w:type="nil"/>
            </w:tcMar>
            <w:vAlign w:val="center"/>
          </w:tcPr>
          <w:p w14:paraId="629C8F8A" w14:textId="42D7F5C5" w:rsidR="00E67D03" w:rsidRPr="00944754" w:rsidRDefault="00E67D03" w:rsidP="00A41FCC">
            <w:pPr>
              <w:rPr>
                <w:b/>
                <w:bCs/>
              </w:rPr>
            </w:pPr>
            <w:r w:rsidRPr="00944754">
              <w:rPr>
                <w:b/>
                <w:bCs/>
              </w:rPr>
              <w:t xml:space="preserve">Due </w:t>
            </w:r>
            <w:r>
              <w:rPr>
                <w:b/>
                <w:bCs/>
              </w:rPr>
              <w:t>d</w:t>
            </w:r>
            <w:r w:rsidRPr="00944754">
              <w:rPr>
                <w:b/>
                <w:bCs/>
              </w:rPr>
              <w:t xml:space="preserve">ate of </w:t>
            </w:r>
            <w:r w:rsidR="0061404B">
              <w:rPr>
                <w:b/>
                <w:bCs/>
              </w:rPr>
              <w:t>a</w:t>
            </w:r>
            <w:r w:rsidRPr="00944754">
              <w:rPr>
                <w:b/>
                <w:bCs/>
              </w:rPr>
              <w:t xml:space="preserve">ssessment item </w:t>
            </w:r>
          </w:p>
          <w:p w14:paraId="2B3B82D7" w14:textId="77777777" w:rsidR="00E67D03" w:rsidRPr="00391566" w:rsidRDefault="00E67D03" w:rsidP="00A41FCC">
            <w:pPr>
              <w:rPr>
                <w:i/>
                <w:iCs/>
              </w:rPr>
            </w:pPr>
            <w:r w:rsidRPr="00391566">
              <w:rPr>
                <w:i/>
                <w:iCs/>
              </w:rPr>
              <w:t>As per the Unit Outline</w:t>
            </w:r>
          </w:p>
        </w:tc>
        <w:tc>
          <w:tcPr>
            <w:tcW w:w="6521" w:type="dxa"/>
            <w:tcBorders>
              <w:top w:val="single" w:sz="4" w:space="0" w:color="BFBFBF"/>
              <w:left w:val="single" w:sz="4" w:space="0" w:color="BFBFBF"/>
              <w:bottom w:val="single" w:sz="4" w:space="0" w:color="BFBFBF"/>
            </w:tcBorders>
            <w:tcMar>
              <w:top w:w="100" w:type="nil"/>
              <w:right w:w="100" w:type="nil"/>
            </w:tcMar>
          </w:tcPr>
          <w:p w14:paraId="2517468D" w14:textId="77777777" w:rsidR="00E67D03" w:rsidRPr="00944754" w:rsidRDefault="00E67D03" w:rsidP="00A41FCC"/>
        </w:tc>
      </w:tr>
      <w:tr w:rsidR="00E67D03" w14:paraId="11EB1AB4" w14:textId="77777777" w:rsidTr="00E67D03">
        <w:tblPrEx>
          <w:tblBorders>
            <w:top w:val="none" w:sz="0" w:space="0" w:color="auto"/>
          </w:tblBorders>
        </w:tblPrEx>
        <w:tc>
          <w:tcPr>
            <w:tcW w:w="3969" w:type="dxa"/>
            <w:tcBorders>
              <w:top w:val="single" w:sz="4" w:space="0" w:color="BFBFBF"/>
              <w:bottom w:val="single" w:sz="4" w:space="0" w:color="BFBFBF"/>
              <w:right w:val="single" w:sz="4" w:space="0" w:color="BFBFBF"/>
            </w:tcBorders>
            <w:tcMar>
              <w:top w:w="100" w:type="nil"/>
              <w:right w:w="100" w:type="nil"/>
            </w:tcMar>
            <w:vAlign w:val="center"/>
          </w:tcPr>
          <w:p w14:paraId="07F10FC2" w14:textId="77777777" w:rsidR="00E67D03" w:rsidRPr="00944754" w:rsidRDefault="00E67D03" w:rsidP="00A41FCC">
            <w:pPr>
              <w:rPr>
                <w:b/>
                <w:bCs/>
              </w:rPr>
            </w:pPr>
            <w:r w:rsidRPr="00944754">
              <w:rPr>
                <w:b/>
                <w:bCs/>
              </w:rPr>
              <w:t xml:space="preserve">Name of </w:t>
            </w:r>
            <w:r>
              <w:rPr>
                <w:b/>
                <w:bCs/>
              </w:rPr>
              <w:t>a</w:t>
            </w:r>
            <w:r w:rsidRPr="00944754">
              <w:rPr>
                <w:b/>
                <w:bCs/>
              </w:rPr>
              <w:t xml:space="preserve">ssessment </w:t>
            </w:r>
            <w:r>
              <w:rPr>
                <w:b/>
                <w:bCs/>
              </w:rPr>
              <w:t>i</w:t>
            </w:r>
            <w:r w:rsidRPr="00944754">
              <w:rPr>
                <w:b/>
                <w:bCs/>
              </w:rPr>
              <w:t xml:space="preserve">tem </w:t>
            </w:r>
            <w:r>
              <w:rPr>
                <w:b/>
                <w:bCs/>
              </w:rPr>
              <w:br/>
            </w:r>
            <w:r w:rsidRPr="00944754">
              <w:rPr>
                <w:i/>
                <w:iCs/>
              </w:rPr>
              <w:t>As per the Unit Outline</w:t>
            </w:r>
          </w:p>
        </w:tc>
        <w:tc>
          <w:tcPr>
            <w:tcW w:w="6521" w:type="dxa"/>
            <w:tcBorders>
              <w:top w:val="single" w:sz="4" w:space="0" w:color="BFBFBF"/>
              <w:left w:val="single" w:sz="4" w:space="0" w:color="BFBFBF"/>
              <w:bottom w:val="single" w:sz="4" w:space="0" w:color="BFBFBF"/>
            </w:tcBorders>
            <w:tcMar>
              <w:top w:w="100" w:type="nil"/>
              <w:right w:w="100" w:type="nil"/>
            </w:tcMar>
          </w:tcPr>
          <w:p w14:paraId="45F638BA" w14:textId="77777777" w:rsidR="00E67D03" w:rsidRPr="00944754" w:rsidRDefault="00E67D03" w:rsidP="00A41FCC"/>
        </w:tc>
      </w:tr>
      <w:tr w:rsidR="00E67D03" w14:paraId="44C7162D" w14:textId="77777777" w:rsidTr="00E67D03">
        <w:tblPrEx>
          <w:tblBorders>
            <w:top w:val="none" w:sz="0" w:space="0" w:color="auto"/>
          </w:tblBorders>
        </w:tblPrEx>
        <w:tc>
          <w:tcPr>
            <w:tcW w:w="3969" w:type="dxa"/>
            <w:tcBorders>
              <w:top w:val="single" w:sz="4" w:space="0" w:color="BFBFBF"/>
              <w:bottom w:val="single" w:sz="4" w:space="0" w:color="BFBFBF"/>
              <w:right w:val="single" w:sz="4" w:space="0" w:color="BFBFBF"/>
            </w:tcBorders>
            <w:tcMar>
              <w:top w:w="100" w:type="nil"/>
              <w:right w:w="100" w:type="nil"/>
            </w:tcMar>
            <w:vAlign w:val="center"/>
          </w:tcPr>
          <w:p w14:paraId="036C2AC9" w14:textId="77777777" w:rsidR="00E67D03" w:rsidRPr="00944754" w:rsidRDefault="00E67D03" w:rsidP="00A41FCC">
            <w:pPr>
              <w:rPr>
                <w:b/>
                <w:bCs/>
              </w:rPr>
            </w:pPr>
            <w:r w:rsidRPr="00944754">
              <w:rPr>
                <w:b/>
                <w:bCs/>
              </w:rPr>
              <w:t xml:space="preserve">Length of </w:t>
            </w:r>
            <w:r>
              <w:rPr>
                <w:b/>
                <w:bCs/>
              </w:rPr>
              <w:t>r</w:t>
            </w:r>
            <w:r w:rsidRPr="00944754">
              <w:rPr>
                <w:b/>
                <w:bCs/>
              </w:rPr>
              <w:t xml:space="preserve">equested </w:t>
            </w:r>
            <w:r>
              <w:rPr>
                <w:b/>
                <w:bCs/>
              </w:rPr>
              <w:t>e</w:t>
            </w:r>
            <w:r w:rsidRPr="00944754">
              <w:rPr>
                <w:b/>
                <w:bCs/>
              </w:rPr>
              <w:t>xtension</w:t>
            </w:r>
          </w:p>
          <w:p w14:paraId="67B207C1" w14:textId="77777777" w:rsidR="00E67D03" w:rsidRPr="00944754" w:rsidRDefault="00E67D03" w:rsidP="00A41FCC">
            <w:r w:rsidRPr="00944754">
              <w:t>e.g. 1 day; 1 week</w:t>
            </w:r>
          </w:p>
        </w:tc>
        <w:tc>
          <w:tcPr>
            <w:tcW w:w="6521" w:type="dxa"/>
            <w:tcBorders>
              <w:top w:val="single" w:sz="4" w:space="0" w:color="BFBFBF"/>
              <w:left w:val="single" w:sz="4" w:space="0" w:color="BFBFBF"/>
              <w:bottom w:val="single" w:sz="4" w:space="0" w:color="BFBFBF"/>
            </w:tcBorders>
            <w:tcMar>
              <w:top w:w="100" w:type="nil"/>
              <w:right w:w="100" w:type="nil"/>
            </w:tcMar>
          </w:tcPr>
          <w:p w14:paraId="33E073CC" w14:textId="77777777" w:rsidR="00E67D03" w:rsidRPr="00944754" w:rsidRDefault="00E67D03" w:rsidP="00A41FCC"/>
        </w:tc>
      </w:tr>
      <w:tr w:rsidR="00E67D03" w14:paraId="3DAFC47C" w14:textId="77777777" w:rsidTr="00E67D03">
        <w:tblPrEx>
          <w:tblBorders>
            <w:top w:val="none" w:sz="0" w:space="0" w:color="auto"/>
          </w:tblBorders>
        </w:tblPrEx>
        <w:tc>
          <w:tcPr>
            <w:tcW w:w="3969" w:type="dxa"/>
            <w:tcBorders>
              <w:top w:val="single" w:sz="4" w:space="0" w:color="BFBFBF"/>
              <w:bottom w:val="single" w:sz="4" w:space="0" w:color="BFBFBF"/>
              <w:right w:val="single" w:sz="4" w:space="0" w:color="BFBFBF"/>
            </w:tcBorders>
            <w:tcMar>
              <w:top w:w="100" w:type="nil"/>
              <w:right w:w="100" w:type="nil"/>
            </w:tcMar>
            <w:vAlign w:val="center"/>
          </w:tcPr>
          <w:p w14:paraId="24AA979D" w14:textId="77777777" w:rsidR="00E67D03" w:rsidRPr="00944754" w:rsidRDefault="00E67D03" w:rsidP="00A41FCC">
            <w:r w:rsidRPr="00944754">
              <w:rPr>
                <w:b/>
                <w:bCs/>
              </w:rPr>
              <w:t xml:space="preserve">Reason for </w:t>
            </w:r>
            <w:r>
              <w:rPr>
                <w:b/>
                <w:bCs/>
              </w:rPr>
              <w:t>e</w:t>
            </w:r>
            <w:r w:rsidRPr="00944754">
              <w:rPr>
                <w:b/>
                <w:bCs/>
              </w:rPr>
              <w:t>xtension</w:t>
            </w:r>
            <w:r w:rsidR="00805C7E">
              <w:rPr>
                <w:b/>
                <w:bCs/>
              </w:rPr>
              <w:t xml:space="preserve"> (Extenuating circumstances)</w:t>
            </w:r>
            <w:r>
              <w:br/>
            </w:r>
            <w:r w:rsidRPr="00944754">
              <w:rPr>
                <w:i/>
                <w:iCs/>
              </w:rPr>
              <w:t>See below for reasons for extension</w:t>
            </w:r>
          </w:p>
        </w:tc>
        <w:tc>
          <w:tcPr>
            <w:tcW w:w="6521" w:type="dxa"/>
            <w:tcBorders>
              <w:top w:val="single" w:sz="4" w:space="0" w:color="BFBFBF"/>
              <w:left w:val="single" w:sz="4" w:space="0" w:color="BFBFBF"/>
              <w:bottom w:val="single" w:sz="4" w:space="0" w:color="BFBFBF"/>
            </w:tcBorders>
            <w:tcMar>
              <w:top w:w="100" w:type="nil"/>
              <w:right w:w="100" w:type="nil"/>
            </w:tcMar>
          </w:tcPr>
          <w:p w14:paraId="06CBEA2C" w14:textId="77777777" w:rsidR="00E67D03" w:rsidRDefault="00E67D03" w:rsidP="00A41FCC"/>
          <w:p w14:paraId="45E31C41" w14:textId="77777777" w:rsidR="009F191C" w:rsidRDefault="009F191C" w:rsidP="00A41FCC"/>
          <w:p w14:paraId="3D215AA6" w14:textId="77777777" w:rsidR="009F191C" w:rsidRDefault="009F191C" w:rsidP="00A41FCC"/>
          <w:p w14:paraId="537DD636" w14:textId="77777777" w:rsidR="009F191C" w:rsidRDefault="009F191C" w:rsidP="00A41FCC"/>
          <w:p w14:paraId="2D33C2B4" w14:textId="77777777" w:rsidR="009F191C" w:rsidRDefault="009F191C" w:rsidP="00A41FCC"/>
          <w:p w14:paraId="4FA3714F" w14:textId="77777777" w:rsidR="009F191C" w:rsidRDefault="009F191C" w:rsidP="00A41FCC"/>
          <w:p w14:paraId="1F1C7BBF" w14:textId="77777777" w:rsidR="009F191C" w:rsidRDefault="009F191C" w:rsidP="00A41FCC"/>
          <w:p w14:paraId="555463C6" w14:textId="77777777" w:rsidR="009F191C" w:rsidRDefault="009F191C" w:rsidP="00A41FCC"/>
          <w:p w14:paraId="74C72B4F" w14:textId="77777777" w:rsidR="009F191C" w:rsidRDefault="009F191C" w:rsidP="00A41FCC"/>
          <w:p w14:paraId="3F871EA7" w14:textId="21848AA2" w:rsidR="009F191C" w:rsidRPr="00944754" w:rsidRDefault="009F191C" w:rsidP="00A41FCC"/>
        </w:tc>
      </w:tr>
      <w:tr w:rsidR="00E67D03" w14:paraId="39CB36AA" w14:textId="77777777" w:rsidTr="00E67D03">
        <w:tblPrEx>
          <w:tblBorders>
            <w:top w:val="none" w:sz="0" w:space="0" w:color="auto"/>
            <w:bottom w:val="single" w:sz="4" w:space="0" w:color="BFBFBF"/>
          </w:tblBorders>
        </w:tblPrEx>
        <w:tc>
          <w:tcPr>
            <w:tcW w:w="3969" w:type="dxa"/>
            <w:tcBorders>
              <w:top w:val="single" w:sz="4" w:space="0" w:color="BFBFBF"/>
              <w:bottom w:val="single" w:sz="4" w:space="0" w:color="BFBFBF"/>
              <w:right w:val="single" w:sz="4" w:space="0" w:color="BFBFBF"/>
            </w:tcBorders>
            <w:tcMar>
              <w:top w:w="100" w:type="nil"/>
              <w:right w:w="100" w:type="nil"/>
            </w:tcMar>
            <w:vAlign w:val="center"/>
          </w:tcPr>
          <w:p w14:paraId="1B119E65" w14:textId="77777777" w:rsidR="00E67D03" w:rsidRPr="00E67D03" w:rsidRDefault="00E67D03" w:rsidP="00A41FCC">
            <w:pPr>
              <w:rPr>
                <w:b/>
                <w:bCs/>
              </w:rPr>
            </w:pPr>
            <w:r w:rsidRPr="00944754">
              <w:rPr>
                <w:b/>
                <w:bCs/>
              </w:rPr>
              <w:t xml:space="preserve">Are you registered with Inclusion &amp; Engagement? </w:t>
            </w:r>
            <w:r w:rsidRPr="00E67D03">
              <w:t>If yes, provide your RAP.</w:t>
            </w:r>
            <w:r>
              <w:rPr>
                <w:b/>
                <w:bCs/>
              </w:rPr>
              <w:t xml:space="preserve"> </w:t>
            </w:r>
          </w:p>
        </w:tc>
        <w:tc>
          <w:tcPr>
            <w:tcW w:w="6521" w:type="dxa"/>
            <w:tcBorders>
              <w:top w:val="single" w:sz="4" w:space="0" w:color="BFBFBF"/>
              <w:left w:val="single" w:sz="4" w:space="0" w:color="BFBFBF"/>
              <w:bottom w:val="single" w:sz="4" w:space="0" w:color="BFBFBF"/>
            </w:tcBorders>
            <w:tcMar>
              <w:top w:w="100" w:type="nil"/>
              <w:right w:w="100" w:type="nil"/>
            </w:tcMar>
          </w:tcPr>
          <w:p w14:paraId="0DF637E6" w14:textId="77777777" w:rsidR="00E67D03" w:rsidRPr="00944754" w:rsidRDefault="00E67D03" w:rsidP="00A41FCC"/>
        </w:tc>
      </w:tr>
      <w:tr w:rsidR="00E67D03" w14:paraId="0DD7F820" w14:textId="77777777" w:rsidTr="00E67D03">
        <w:tblPrEx>
          <w:tblBorders>
            <w:top w:val="none" w:sz="0" w:space="0" w:color="auto"/>
            <w:bottom w:val="single" w:sz="4" w:space="0" w:color="BFBFBF"/>
          </w:tblBorders>
        </w:tblPrEx>
        <w:tc>
          <w:tcPr>
            <w:tcW w:w="3969" w:type="dxa"/>
            <w:tcBorders>
              <w:top w:val="single" w:sz="4" w:space="0" w:color="BFBFBF"/>
              <w:bottom w:val="single" w:sz="4" w:space="0" w:color="BFBFBF"/>
              <w:right w:val="single" w:sz="4" w:space="0" w:color="BFBFBF"/>
            </w:tcBorders>
            <w:tcMar>
              <w:top w:w="100" w:type="nil"/>
              <w:right w:w="100" w:type="nil"/>
            </w:tcMar>
          </w:tcPr>
          <w:p w14:paraId="43FCF5DE" w14:textId="29DEA2CE" w:rsidR="00E67D03" w:rsidRPr="00944754" w:rsidRDefault="0061404B" w:rsidP="00A41FCC">
            <w:pPr>
              <w:rPr>
                <w:b/>
                <w:bCs/>
              </w:rPr>
            </w:pPr>
            <w:r>
              <w:rPr>
                <w:b/>
                <w:bCs/>
              </w:rPr>
              <w:t>Supporting d</w:t>
            </w:r>
            <w:r w:rsidR="00E67D03">
              <w:rPr>
                <w:b/>
                <w:bCs/>
              </w:rPr>
              <w:t xml:space="preserve">ocumentary evidence </w:t>
            </w:r>
            <w:r w:rsidR="00F33282">
              <w:rPr>
                <w:b/>
                <w:bCs/>
              </w:rPr>
              <w:t>provided</w:t>
            </w:r>
            <w:r w:rsidR="00E36EA8">
              <w:rPr>
                <w:b/>
                <w:bCs/>
              </w:rPr>
              <w:t xml:space="preserve"> (a scan of the original documen</w:t>
            </w:r>
            <w:bookmarkStart w:id="0" w:name="_GoBack"/>
            <w:bookmarkEnd w:id="0"/>
            <w:r w:rsidR="00E36EA8">
              <w:rPr>
                <w:b/>
                <w:bCs/>
              </w:rPr>
              <w:t>tary evidence must be submitted with this form)</w:t>
            </w:r>
          </w:p>
        </w:tc>
        <w:tc>
          <w:tcPr>
            <w:tcW w:w="6521" w:type="dxa"/>
            <w:tcBorders>
              <w:top w:val="single" w:sz="4" w:space="0" w:color="BFBFBF"/>
              <w:left w:val="single" w:sz="4" w:space="0" w:color="BFBFBF"/>
              <w:bottom w:val="single" w:sz="4" w:space="0" w:color="BFBFBF"/>
            </w:tcBorders>
            <w:tcMar>
              <w:top w:w="100" w:type="nil"/>
              <w:right w:w="100" w:type="nil"/>
            </w:tcMar>
          </w:tcPr>
          <w:p w14:paraId="003BB694" w14:textId="17806DD4" w:rsidR="00E67D03" w:rsidRPr="0036174F" w:rsidRDefault="00E67D03" w:rsidP="00A41FCC">
            <w:pPr>
              <w:rPr>
                <w:i/>
                <w:iCs/>
              </w:rPr>
            </w:pPr>
            <w:r w:rsidRPr="0036174F">
              <w:rPr>
                <w:i/>
                <w:iCs/>
                <w:color w:val="47B9CF" w:themeColor="accent3" w:themeShade="BF"/>
              </w:rPr>
              <w:t xml:space="preserve"> </w:t>
            </w:r>
          </w:p>
        </w:tc>
      </w:tr>
    </w:tbl>
    <w:p w14:paraId="3156AB7C" w14:textId="77777777" w:rsidR="00E67D03" w:rsidRDefault="00E67D03" w:rsidP="00E67D03">
      <w:pPr>
        <w:pStyle w:val="Heading3"/>
      </w:pPr>
    </w:p>
    <w:p w14:paraId="64FD7D4E" w14:textId="77777777" w:rsidR="00805C7E" w:rsidRDefault="00805C7E">
      <w:pPr>
        <w:spacing w:before="0" w:after="200" w:line="276" w:lineRule="auto"/>
        <w:rPr>
          <w:rFonts w:asciiTheme="majorHAnsi" w:eastAsiaTheme="majorEastAsia" w:hAnsiTheme="majorHAnsi" w:cstheme="majorBidi"/>
          <w:b/>
          <w:bCs/>
          <w:color w:val="00A9CE" w:themeColor="accent1"/>
          <w:sz w:val="32"/>
        </w:rPr>
      </w:pPr>
      <w:r>
        <w:br w:type="page"/>
      </w:r>
    </w:p>
    <w:p w14:paraId="6BBD13C4" w14:textId="77777777" w:rsidR="00E67D03" w:rsidRDefault="00E67D03" w:rsidP="00E67D03">
      <w:pPr>
        <w:pStyle w:val="Heading3"/>
      </w:pPr>
      <w:r w:rsidRPr="00391566">
        <w:lastRenderedPageBreak/>
        <w:t>Conditions for assignment extension application</w:t>
      </w:r>
    </w:p>
    <w:p w14:paraId="4FAC3EC3" w14:textId="77777777" w:rsidR="00E67D03" w:rsidRPr="00391566" w:rsidRDefault="00E67D03" w:rsidP="00E67D03">
      <w:r w:rsidRPr="00391566">
        <w:t>You must read and accept the following conditions:</w:t>
      </w:r>
    </w:p>
    <w:p w14:paraId="1DF0A2B9" w14:textId="07AB321E" w:rsidR="00E67D03" w:rsidRDefault="00E67D03" w:rsidP="00E67D03">
      <w:pPr>
        <w:pStyle w:val="ListParagraph"/>
        <w:numPr>
          <w:ilvl w:val="0"/>
          <w:numId w:val="1"/>
        </w:numPr>
      </w:pPr>
      <w:r w:rsidRPr="00391566">
        <w:t>I have</w:t>
      </w:r>
      <w:r w:rsidRPr="00391566">
        <w:rPr>
          <w:i/>
          <w:iCs/>
        </w:rPr>
        <w:t xml:space="preserve"> </w:t>
      </w:r>
      <w:r w:rsidRPr="00391566">
        <w:t xml:space="preserve">attached </w:t>
      </w:r>
      <w:r w:rsidR="00B1080D">
        <w:t>the</w:t>
      </w:r>
      <w:r w:rsidRPr="00391566">
        <w:t xml:space="preserve"> required </w:t>
      </w:r>
      <w:r w:rsidR="00B1080D">
        <w:t xml:space="preserve">supporting </w:t>
      </w:r>
      <w:r w:rsidRPr="00391566">
        <w:t xml:space="preserve">documentation. </w:t>
      </w:r>
    </w:p>
    <w:p w14:paraId="012250D8" w14:textId="62AAA235" w:rsidR="00E67D03" w:rsidRPr="00391566" w:rsidRDefault="00E67D03" w:rsidP="00E67D03">
      <w:pPr>
        <w:pStyle w:val="ListParagraph"/>
        <w:numPr>
          <w:ilvl w:val="0"/>
          <w:numId w:val="1"/>
        </w:numPr>
      </w:pPr>
      <w:r w:rsidRPr="00391566">
        <w:t xml:space="preserve">I declare that the information I have supplied is correct and complete, and that the </w:t>
      </w:r>
      <w:r w:rsidR="00B1080D">
        <w:t>supporting d</w:t>
      </w:r>
      <w:r w:rsidRPr="00391566">
        <w:t>ocumenta</w:t>
      </w:r>
      <w:r w:rsidR="00B1080D">
        <w:t xml:space="preserve">tion </w:t>
      </w:r>
      <w:r w:rsidRPr="00391566">
        <w:t>is authentic.</w:t>
      </w:r>
    </w:p>
    <w:p w14:paraId="1C84222C" w14:textId="5C2483E9" w:rsidR="00E67D03" w:rsidRPr="00391566" w:rsidRDefault="00E67D03" w:rsidP="00E67D03">
      <w:pPr>
        <w:pStyle w:val="ListParagraph"/>
        <w:numPr>
          <w:ilvl w:val="0"/>
          <w:numId w:val="1"/>
        </w:numPr>
      </w:pPr>
      <w:r>
        <w:t>I</w:t>
      </w:r>
      <w:r w:rsidRPr="00391566">
        <w:t xml:space="preserve"> authorise the University of Canberra to obtain information with respect to my application and, if </w:t>
      </w:r>
      <w:r w:rsidR="00F33282">
        <w:t>it chooses</w:t>
      </w:r>
      <w:r w:rsidRPr="00391566">
        <w:t>, to verify the authenticity of the documentation I have provided.</w:t>
      </w:r>
    </w:p>
    <w:p w14:paraId="141FB234" w14:textId="77777777" w:rsidR="00E67D03" w:rsidRPr="00391566" w:rsidRDefault="00E67D03" w:rsidP="00E67D03">
      <w:pPr>
        <w:pStyle w:val="ListParagraph"/>
        <w:numPr>
          <w:ilvl w:val="0"/>
          <w:numId w:val="1"/>
        </w:numPr>
      </w:pPr>
      <w:r w:rsidRPr="00391566">
        <w:t xml:space="preserve">I understand that submission of this </w:t>
      </w:r>
      <w:r w:rsidR="00B1080D">
        <w:t xml:space="preserve">application </w:t>
      </w:r>
      <w:r w:rsidRPr="00391566">
        <w:t xml:space="preserve">form does not guarantee automatic approval of the </w:t>
      </w:r>
      <w:r>
        <w:t>extension</w:t>
      </w:r>
      <w:r w:rsidRPr="00391566">
        <w:t>.</w:t>
      </w:r>
    </w:p>
    <w:p w14:paraId="1F04270F" w14:textId="77777777" w:rsidR="00E67D03" w:rsidRPr="00391566" w:rsidRDefault="00E67D03" w:rsidP="00E67D03">
      <w:pPr>
        <w:pStyle w:val="ListParagraph"/>
        <w:numPr>
          <w:ilvl w:val="0"/>
          <w:numId w:val="1"/>
        </w:numPr>
      </w:pPr>
      <w:r w:rsidRPr="00391566">
        <w:t>I will be notified of the application outcome via my UC student email account.</w:t>
      </w:r>
    </w:p>
    <w:p w14:paraId="7D5B2214" w14:textId="77777777" w:rsidR="00E67D03" w:rsidRPr="00391566" w:rsidRDefault="00E67D03" w:rsidP="00E67D03">
      <w:pPr>
        <w:pStyle w:val="ListParagraph"/>
        <w:numPr>
          <w:ilvl w:val="0"/>
          <w:numId w:val="1"/>
        </w:numPr>
      </w:pPr>
      <w:r>
        <w:t>I</w:t>
      </w:r>
      <w:r w:rsidRPr="00391566">
        <w:t>f approved, it is my responsibility to submit my assessment item before the revised deadline.</w:t>
      </w:r>
    </w:p>
    <w:p w14:paraId="2C376798" w14:textId="7FE557CF" w:rsidR="00E67D03" w:rsidRDefault="00E67D03" w:rsidP="00E67D03">
      <w:pPr>
        <w:pStyle w:val="ListParagraph"/>
        <w:numPr>
          <w:ilvl w:val="0"/>
          <w:numId w:val="1"/>
        </w:numPr>
      </w:pPr>
      <w:r w:rsidRPr="00391566">
        <w:t xml:space="preserve">If I am intending to graduate </w:t>
      </w:r>
      <w:r w:rsidR="0061404B">
        <w:t xml:space="preserve">in the next graduate period </w:t>
      </w:r>
      <w:r w:rsidRPr="00391566">
        <w:t xml:space="preserve">and have received an assignment extension, my graduation may be delayed until the following </w:t>
      </w:r>
      <w:r w:rsidR="0061404B">
        <w:t>graduation</w:t>
      </w:r>
      <w:r w:rsidR="0061404B" w:rsidRPr="00391566">
        <w:t xml:space="preserve"> </w:t>
      </w:r>
      <w:r w:rsidRPr="00391566">
        <w:t>period or year.</w:t>
      </w:r>
    </w:p>
    <w:p w14:paraId="648DF9EC" w14:textId="77777777" w:rsidR="00B1080D" w:rsidRDefault="00B1080D" w:rsidP="00E67D03">
      <w:pPr>
        <w:rPr>
          <w:b/>
          <w:bCs/>
        </w:rPr>
      </w:pPr>
    </w:p>
    <w:p w14:paraId="35B9CC6B" w14:textId="277DA8AB" w:rsidR="00E67D03" w:rsidRPr="0036174F" w:rsidRDefault="00E67D03" w:rsidP="00E67D03">
      <w:pPr>
        <w:rPr>
          <w:b/>
          <w:bCs/>
        </w:rPr>
      </w:pPr>
      <w:r w:rsidRPr="0036174F">
        <w:rPr>
          <w:b/>
          <w:bCs/>
        </w:rPr>
        <w:t xml:space="preserve">NOTE: </w:t>
      </w:r>
    </w:p>
    <w:p w14:paraId="33E3FE1D" w14:textId="26CA2177" w:rsidR="00E67D03" w:rsidRDefault="00E67D03" w:rsidP="00E67D03">
      <w:pPr>
        <w:rPr>
          <w:b/>
          <w:bCs/>
        </w:rPr>
      </w:pPr>
      <w:r w:rsidRPr="0036174F">
        <w:rPr>
          <w:b/>
          <w:bCs/>
        </w:rPr>
        <w:t xml:space="preserve">This application will only be processed if you </w:t>
      </w:r>
      <w:r w:rsidR="00B1080D">
        <w:rPr>
          <w:b/>
          <w:bCs/>
        </w:rPr>
        <w:t xml:space="preserve">send the completed application form </w:t>
      </w:r>
      <w:r w:rsidRPr="0036174F">
        <w:rPr>
          <w:b/>
          <w:bCs/>
        </w:rPr>
        <w:t xml:space="preserve">from your UC email account. </w:t>
      </w:r>
    </w:p>
    <w:p w14:paraId="4E070554" w14:textId="77777777" w:rsidR="006A0ABF" w:rsidRPr="0036174F" w:rsidRDefault="006A0ABF" w:rsidP="006A0ABF">
      <w:pPr>
        <w:rPr>
          <w:b/>
          <w:bCs/>
        </w:rPr>
      </w:pPr>
      <w:r w:rsidRPr="0036174F">
        <w:rPr>
          <w:b/>
          <w:bCs/>
        </w:rPr>
        <w:t xml:space="preserve">Sending this form from your UC email account demonstrates that you agree that you have read and accepted the conditions. </w:t>
      </w:r>
    </w:p>
    <w:p w14:paraId="33729691" w14:textId="77777777" w:rsidR="006A0ABF" w:rsidRPr="0036174F" w:rsidRDefault="006A0ABF" w:rsidP="00E67D03">
      <w:pPr>
        <w:rPr>
          <w:b/>
          <w:bCs/>
        </w:rPr>
      </w:pPr>
    </w:p>
    <w:p w14:paraId="4C985ED3" w14:textId="77777777" w:rsidR="00E67D03" w:rsidRDefault="00E67D03" w:rsidP="00E67D03">
      <w:pPr>
        <w:rPr>
          <w:color w:val="47B9CF" w:themeColor="accent3" w:themeShade="BF"/>
        </w:rPr>
      </w:pPr>
    </w:p>
    <w:p w14:paraId="0C7A98A7" w14:textId="77777777" w:rsidR="00E67D03" w:rsidRDefault="00E67D03">
      <w:pPr>
        <w:spacing w:before="0" w:after="200" w:line="276" w:lineRule="auto"/>
        <w:rPr>
          <w:rFonts w:asciiTheme="majorHAnsi" w:eastAsiaTheme="majorEastAsia" w:hAnsiTheme="majorHAnsi" w:cstheme="majorBidi"/>
          <w:b/>
          <w:bCs/>
          <w:color w:val="00A9CE" w:themeColor="accent1"/>
          <w:sz w:val="32"/>
        </w:rPr>
      </w:pPr>
      <w:r>
        <w:br w:type="page"/>
      </w:r>
    </w:p>
    <w:p w14:paraId="563EE388" w14:textId="77777777" w:rsidR="00E67D03" w:rsidRDefault="00E67D03" w:rsidP="00E67D03">
      <w:pPr>
        <w:pStyle w:val="Heading3"/>
      </w:pPr>
      <w:r>
        <w:lastRenderedPageBreak/>
        <w:t>Extenuating circumstances</w:t>
      </w:r>
      <w:r w:rsidR="00805C7E">
        <w:t xml:space="preserve"> (reason for extension)</w:t>
      </w:r>
    </w:p>
    <w:p w14:paraId="45ABC055" w14:textId="496013BE" w:rsidR="00E67D03" w:rsidRDefault="0061404B" w:rsidP="00E67D03">
      <w:r>
        <w:t xml:space="preserve">The University of Canberra’s </w:t>
      </w:r>
      <w:hyperlink r:id="rId14" w:history="1">
        <w:r w:rsidR="00E67D03" w:rsidRPr="009A129A">
          <w:rPr>
            <w:rStyle w:val="Hyperlink"/>
          </w:rPr>
          <w:t>Assessment Procedures</w:t>
        </w:r>
      </w:hyperlink>
      <w:r w:rsidR="00E67D03">
        <w:t xml:space="preserve"> </w:t>
      </w:r>
      <w:r w:rsidR="009A129A">
        <w:t xml:space="preserve">(see 3.14) </w:t>
      </w:r>
      <w:r w:rsidR="00E67D03">
        <w:t xml:space="preserve">provide information about the categories of </w:t>
      </w:r>
      <w:r>
        <w:t xml:space="preserve">extenuating </w:t>
      </w:r>
      <w:r w:rsidR="00E67D03">
        <w:t xml:space="preserve">circumstances </w:t>
      </w:r>
      <w:r w:rsidR="00805C7E">
        <w:t xml:space="preserve">(reasons for extensions) </w:t>
      </w:r>
      <w:r w:rsidR="00E67D03">
        <w:t xml:space="preserve">under which you are able to apply for an extension. They are </w:t>
      </w:r>
      <w:r w:rsidR="006A0ABF">
        <w:t xml:space="preserve">detailed </w:t>
      </w:r>
      <w:r w:rsidR="00E67D03">
        <w:t xml:space="preserve">below.  </w:t>
      </w:r>
    </w:p>
    <w:p w14:paraId="68FE543E" w14:textId="05E23898" w:rsidR="00E67D03" w:rsidRDefault="0061404B" w:rsidP="00E67D03">
      <w:pPr>
        <w:pStyle w:val="Heading4"/>
      </w:pPr>
      <w:r>
        <w:t xml:space="preserve">Extenuating </w:t>
      </w:r>
      <w:r w:rsidR="00E67D03">
        <w:t xml:space="preserve">Circumstances </w:t>
      </w:r>
      <w:r w:rsidR="009A129A">
        <w:t>3.14 of the Assessment Procedures (unanticipated)</w:t>
      </w:r>
      <w:r w:rsidR="00E67D03">
        <w:t xml:space="preserve"> </w:t>
      </w:r>
    </w:p>
    <w:tbl>
      <w:tblPr>
        <w:tblStyle w:val="TableGrid"/>
        <w:tblW w:w="0" w:type="auto"/>
        <w:tblLook w:val="04A0" w:firstRow="1" w:lastRow="0" w:firstColumn="1" w:lastColumn="0" w:noHBand="0" w:noVBand="1"/>
      </w:tblPr>
      <w:tblGrid>
        <w:gridCol w:w="2689"/>
        <w:gridCol w:w="7505"/>
      </w:tblGrid>
      <w:tr w:rsidR="00E67D03" w14:paraId="45215FBD" w14:textId="77777777" w:rsidTr="00A41FCC">
        <w:tc>
          <w:tcPr>
            <w:tcW w:w="10194" w:type="dxa"/>
            <w:gridSpan w:val="2"/>
          </w:tcPr>
          <w:p w14:paraId="7FF2C6C8" w14:textId="52A1C728" w:rsidR="00E67D03" w:rsidRPr="0036174F" w:rsidRDefault="009A129A" w:rsidP="00A41FCC">
            <w:pPr>
              <w:rPr>
                <w:b/>
                <w:bCs/>
              </w:rPr>
            </w:pPr>
            <w:r>
              <w:rPr>
                <w:b/>
                <w:bCs/>
              </w:rPr>
              <w:t xml:space="preserve">Extenuating </w:t>
            </w:r>
            <w:r w:rsidR="00E67D03" w:rsidRPr="0036174F">
              <w:rPr>
                <w:b/>
                <w:bCs/>
              </w:rPr>
              <w:t xml:space="preserve">Circumstances </w:t>
            </w:r>
            <w:r w:rsidR="00986D4D">
              <w:rPr>
                <w:b/>
                <w:bCs/>
              </w:rPr>
              <w:t xml:space="preserve">from 3.14.6 a in the Assessment Procedures </w:t>
            </w:r>
            <w:r w:rsidR="00E67D03" w:rsidRPr="0036174F">
              <w:rPr>
                <w:b/>
                <w:bCs/>
              </w:rPr>
              <w:t xml:space="preserve">relate to those considered to be unanticipated, extenuating and exceptional. </w:t>
            </w:r>
          </w:p>
          <w:p w14:paraId="1FC0D4F4" w14:textId="77777777" w:rsidR="00E67D03" w:rsidRDefault="00E67D03" w:rsidP="00A41FCC">
            <w:pPr>
              <w:rPr>
                <w:b/>
                <w:bCs/>
              </w:rPr>
            </w:pPr>
            <w:r w:rsidRPr="0036174F">
              <w:rPr>
                <w:b/>
                <w:bCs/>
              </w:rPr>
              <w:t>Notification to the unit convener is required as soon as possible after the event or before the event where circumstances allow.</w:t>
            </w:r>
          </w:p>
          <w:p w14:paraId="43B65681" w14:textId="64BF29D9" w:rsidR="00E67D03" w:rsidRPr="0036174F" w:rsidRDefault="00E67D03" w:rsidP="00A41FCC">
            <w:pPr>
              <w:rPr>
                <w:b/>
                <w:bCs/>
                <w:sz w:val="28"/>
                <w:szCs w:val="28"/>
              </w:rPr>
            </w:pPr>
            <w:r w:rsidRPr="0036174F">
              <w:rPr>
                <w:b/>
                <w:bCs/>
                <w:color w:val="47B9CF" w:themeColor="accent3" w:themeShade="BF"/>
                <w:sz w:val="28"/>
                <w:szCs w:val="28"/>
              </w:rPr>
              <w:t xml:space="preserve">See the </w:t>
            </w:r>
            <w:r w:rsidR="009A129A">
              <w:rPr>
                <w:b/>
                <w:bCs/>
                <w:i/>
                <w:iCs/>
                <w:color w:val="47B9CF" w:themeColor="accent3" w:themeShade="BF"/>
                <w:sz w:val="28"/>
                <w:szCs w:val="28"/>
              </w:rPr>
              <w:t>Supporting</w:t>
            </w:r>
            <w:r w:rsidR="009A129A" w:rsidRPr="0036174F">
              <w:rPr>
                <w:b/>
                <w:bCs/>
                <w:i/>
                <w:iCs/>
                <w:color w:val="47B9CF" w:themeColor="accent3" w:themeShade="BF"/>
                <w:sz w:val="28"/>
                <w:szCs w:val="28"/>
              </w:rPr>
              <w:t xml:space="preserve"> </w:t>
            </w:r>
            <w:r w:rsidRPr="0036174F">
              <w:rPr>
                <w:b/>
                <w:bCs/>
                <w:i/>
                <w:iCs/>
                <w:color w:val="47B9CF" w:themeColor="accent3" w:themeShade="BF"/>
                <w:sz w:val="28"/>
                <w:szCs w:val="28"/>
              </w:rPr>
              <w:t xml:space="preserve">Evidence </w:t>
            </w:r>
            <w:r w:rsidR="009A129A">
              <w:rPr>
                <w:b/>
                <w:bCs/>
                <w:i/>
                <w:iCs/>
                <w:color w:val="47B9CF" w:themeColor="accent3" w:themeShade="BF"/>
                <w:sz w:val="28"/>
                <w:szCs w:val="28"/>
              </w:rPr>
              <w:t>section</w:t>
            </w:r>
            <w:r w:rsidR="009A129A" w:rsidRPr="0036174F">
              <w:rPr>
                <w:b/>
                <w:bCs/>
                <w:color w:val="47B9CF" w:themeColor="accent3" w:themeShade="BF"/>
                <w:sz w:val="28"/>
                <w:szCs w:val="28"/>
              </w:rPr>
              <w:t xml:space="preserve"> </w:t>
            </w:r>
            <w:r w:rsidRPr="0036174F">
              <w:rPr>
                <w:b/>
                <w:bCs/>
                <w:color w:val="47B9CF" w:themeColor="accent3" w:themeShade="BF"/>
                <w:sz w:val="28"/>
                <w:szCs w:val="28"/>
              </w:rPr>
              <w:t>above.</w:t>
            </w:r>
          </w:p>
        </w:tc>
      </w:tr>
      <w:tr w:rsidR="00E67D03" w14:paraId="5928EED0" w14:textId="77777777" w:rsidTr="00A41FCC">
        <w:tc>
          <w:tcPr>
            <w:tcW w:w="2689" w:type="dxa"/>
          </w:tcPr>
          <w:p w14:paraId="2C62BD70" w14:textId="14B56132" w:rsidR="00E67D03" w:rsidRPr="0036174F" w:rsidRDefault="009A129A" w:rsidP="00A41FCC">
            <w:pPr>
              <w:rPr>
                <w:b/>
                <w:bCs/>
              </w:rPr>
            </w:pPr>
            <w:r>
              <w:rPr>
                <w:b/>
                <w:bCs/>
              </w:rPr>
              <w:t>3.14.6 a.</w:t>
            </w:r>
            <w:r w:rsidR="00E67D03" w:rsidRPr="0036174F">
              <w:rPr>
                <w:b/>
                <w:bCs/>
              </w:rPr>
              <w:t xml:space="preserve"> Illness or serious health problems</w:t>
            </w:r>
          </w:p>
        </w:tc>
        <w:tc>
          <w:tcPr>
            <w:tcW w:w="7505" w:type="dxa"/>
          </w:tcPr>
          <w:p w14:paraId="630A3B1E" w14:textId="3F2EA41E" w:rsidR="00E67D03" w:rsidRPr="0036174F" w:rsidRDefault="009A129A" w:rsidP="00A41FCC">
            <w:r>
              <w:t xml:space="preserve">Where a student is unable to undertake assessment due to illness or other </w:t>
            </w:r>
            <w:r w:rsidR="00E67D03" w:rsidRPr="0036174F">
              <w:t>serious health problems, application</w:t>
            </w:r>
            <w:r>
              <w:t>s</w:t>
            </w:r>
            <w:r w:rsidR="00E67D03" w:rsidRPr="0036174F">
              <w:t xml:space="preserve"> must </w:t>
            </w:r>
            <w:r>
              <w:t>be supported by an</w:t>
            </w:r>
            <w:r w:rsidR="00E67D03" w:rsidRPr="0036174F">
              <w:t xml:space="preserve"> original or certified copy of a medical certificate that clearly states the </w:t>
            </w:r>
            <w:r>
              <w:t xml:space="preserve">impact of the </w:t>
            </w:r>
            <w:r w:rsidR="00E67D03" w:rsidRPr="0036174F">
              <w:t>condition, the expected duration of the condition, and when study and assessment can be recommenced.</w:t>
            </w:r>
            <w:r w:rsidR="00E67D03">
              <w:t xml:space="preserve"> </w:t>
            </w:r>
          </w:p>
          <w:p w14:paraId="1A8AC80A" w14:textId="77777777" w:rsidR="00E67D03" w:rsidRPr="0036174F" w:rsidRDefault="00E67D03" w:rsidP="00A41FCC">
            <w:r w:rsidRPr="0036174F">
              <w:t>Medical certificate(s) must be provided by a certified doctor who is not a relative, colleague, or close friend of the student, or has any other conflict of interest.</w:t>
            </w:r>
          </w:p>
        </w:tc>
      </w:tr>
      <w:tr w:rsidR="00E67D03" w14:paraId="4AA1C879" w14:textId="77777777" w:rsidTr="00A41FCC">
        <w:tc>
          <w:tcPr>
            <w:tcW w:w="2689" w:type="dxa"/>
          </w:tcPr>
          <w:p w14:paraId="125E90D6" w14:textId="7B5AF4AD" w:rsidR="00E67D03" w:rsidRPr="0036174F" w:rsidRDefault="009A129A" w:rsidP="00A41FCC">
            <w:pPr>
              <w:rPr>
                <w:b/>
                <w:bCs/>
              </w:rPr>
            </w:pPr>
            <w:r>
              <w:rPr>
                <w:b/>
                <w:bCs/>
              </w:rPr>
              <w:t>3.14.6 b.</w:t>
            </w:r>
            <w:r w:rsidR="00E67D03" w:rsidRPr="0036174F">
              <w:rPr>
                <w:b/>
                <w:bCs/>
              </w:rPr>
              <w:t xml:space="preserve"> Bereavement</w:t>
            </w:r>
          </w:p>
        </w:tc>
        <w:tc>
          <w:tcPr>
            <w:tcW w:w="7505" w:type="dxa"/>
          </w:tcPr>
          <w:p w14:paraId="50E70B1A" w14:textId="2147B8DD" w:rsidR="00E67D03" w:rsidRPr="0036174F" w:rsidRDefault="009A129A" w:rsidP="009F191C">
            <w:r>
              <w:rPr>
                <w:lang w:val="en-GB"/>
              </w:rPr>
              <w:t>Where a student is affected by a bereavement</w:t>
            </w:r>
            <w:r w:rsidR="00E67D03">
              <w:rPr>
                <w:lang w:val="en-GB"/>
              </w:rPr>
              <w:t xml:space="preserve"> of </w:t>
            </w:r>
            <w:r>
              <w:rPr>
                <w:lang w:val="en-GB"/>
              </w:rPr>
              <w:t>an</w:t>
            </w:r>
            <w:r w:rsidR="00E67D03">
              <w:rPr>
                <w:lang w:val="en-GB"/>
              </w:rPr>
              <w:t xml:space="preserve"> immediate family member or close friend/relative, </w:t>
            </w:r>
            <w:r>
              <w:rPr>
                <w:lang w:val="en-GB"/>
              </w:rPr>
              <w:t xml:space="preserve">to the extent that the student is unable to undertake assessment(s) as required, students must provide </w:t>
            </w:r>
            <w:r w:rsidR="00E67D03">
              <w:rPr>
                <w:lang w:val="en-GB"/>
              </w:rPr>
              <w:t>a certified copy of the death certificate or appropriate evidence.</w:t>
            </w:r>
          </w:p>
        </w:tc>
      </w:tr>
      <w:tr w:rsidR="00E67D03" w14:paraId="6D02717A" w14:textId="77777777" w:rsidTr="00A41FCC">
        <w:tc>
          <w:tcPr>
            <w:tcW w:w="2689" w:type="dxa"/>
          </w:tcPr>
          <w:p w14:paraId="3B94B69B" w14:textId="578BACFB" w:rsidR="00E67D03" w:rsidRPr="0036174F" w:rsidRDefault="00E67D03" w:rsidP="00A41FCC">
            <w:pPr>
              <w:rPr>
                <w:b/>
                <w:bCs/>
              </w:rPr>
            </w:pPr>
            <w:r w:rsidRPr="0036174F">
              <w:rPr>
                <w:b/>
                <w:bCs/>
              </w:rPr>
              <w:t>3</w:t>
            </w:r>
            <w:r w:rsidR="00C1149A">
              <w:rPr>
                <w:b/>
                <w:bCs/>
              </w:rPr>
              <w:t>.14.6 c.</w:t>
            </w:r>
            <w:r w:rsidRPr="0036174F">
              <w:rPr>
                <w:b/>
                <w:bCs/>
              </w:rPr>
              <w:t xml:space="preserve"> Psychological well-being</w:t>
            </w:r>
          </w:p>
        </w:tc>
        <w:tc>
          <w:tcPr>
            <w:tcW w:w="7505" w:type="dxa"/>
          </w:tcPr>
          <w:p w14:paraId="2AB4969B" w14:textId="68AB3934" w:rsidR="00E67D03" w:rsidRPr="0036174F" w:rsidRDefault="009A129A" w:rsidP="00A41FCC">
            <w:r>
              <w:rPr>
                <w:lang w:val="en-GB"/>
              </w:rPr>
              <w:t xml:space="preserve">Where a student </w:t>
            </w:r>
            <w:r w:rsidR="00C1149A">
              <w:rPr>
                <w:lang w:val="en-GB"/>
              </w:rPr>
              <w:t>has experience</w:t>
            </w:r>
            <w:r w:rsidR="00986D4D">
              <w:rPr>
                <w:lang w:val="en-GB"/>
              </w:rPr>
              <w:t>d</w:t>
            </w:r>
            <w:r w:rsidR="00E67D03">
              <w:rPr>
                <w:lang w:val="en-GB"/>
              </w:rPr>
              <w:t xml:space="preserve"> an event that affects </w:t>
            </w:r>
            <w:r w:rsidR="00C1149A">
              <w:rPr>
                <w:lang w:val="en-GB"/>
              </w:rPr>
              <w:t xml:space="preserve">their </w:t>
            </w:r>
            <w:r w:rsidR="00E67D03" w:rsidRPr="0036174F">
              <w:t>psychological</w:t>
            </w:r>
            <w:r w:rsidR="00E67D03">
              <w:rPr>
                <w:lang w:val="en-GB"/>
              </w:rPr>
              <w:t xml:space="preserve"> well-being</w:t>
            </w:r>
            <w:r w:rsidR="00C1149A">
              <w:rPr>
                <w:lang w:val="en-GB"/>
              </w:rPr>
              <w:t xml:space="preserve"> to the extent that they are unable to undertake the required assessment(s), they must provide </w:t>
            </w:r>
            <w:r w:rsidR="00E67D03">
              <w:rPr>
                <w:lang w:val="en-GB"/>
              </w:rPr>
              <w:t xml:space="preserve">an original or certified copy of a document from </w:t>
            </w:r>
            <w:r w:rsidR="00C1149A">
              <w:rPr>
                <w:lang w:val="en-GB"/>
              </w:rPr>
              <w:t xml:space="preserve">their </w:t>
            </w:r>
            <w:r w:rsidR="00E67D03">
              <w:rPr>
                <w:lang w:val="en-GB"/>
              </w:rPr>
              <w:t>counsellor or other relevant practitioner</w:t>
            </w:r>
            <w:r w:rsidR="00C1149A">
              <w:rPr>
                <w:lang w:val="en-GB"/>
              </w:rPr>
              <w:t xml:space="preserve">, indicating </w:t>
            </w:r>
            <w:r w:rsidR="00E67D03">
              <w:rPr>
                <w:lang w:val="en-GB"/>
              </w:rPr>
              <w:t>the impact of the event, and the expected timeframe until study and assessment can be recommenced.</w:t>
            </w:r>
          </w:p>
        </w:tc>
      </w:tr>
      <w:tr w:rsidR="00E67D03" w14:paraId="18C6EDAE" w14:textId="77777777" w:rsidTr="00A41FCC">
        <w:tc>
          <w:tcPr>
            <w:tcW w:w="2689" w:type="dxa"/>
          </w:tcPr>
          <w:p w14:paraId="11C845DE" w14:textId="0BBE61FA" w:rsidR="00E67D03" w:rsidRPr="0036174F" w:rsidRDefault="00C1149A" w:rsidP="00A41FCC">
            <w:pPr>
              <w:rPr>
                <w:b/>
                <w:bCs/>
              </w:rPr>
            </w:pPr>
            <w:r>
              <w:rPr>
                <w:b/>
                <w:bCs/>
              </w:rPr>
              <w:t>3.14.6 d.</w:t>
            </w:r>
            <w:r w:rsidR="00E67D03" w:rsidRPr="0036174F">
              <w:rPr>
                <w:b/>
                <w:bCs/>
              </w:rPr>
              <w:t xml:space="preserve"> Other personal or professional exceptional circumstances</w:t>
            </w:r>
          </w:p>
        </w:tc>
        <w:tc>
          <w:tcPr>
            <w:tcW w:w="7505" w:type="dxa"/>
          </w:tcPr>
          <w:p w14:paraId="4B2D0288" w14:textId="7F662C5D" w:rsidR="00E67D03" w:rsidRPr="0036174F" w:rsidRDefault="00E67D03" w:rsidP="00A41FCC">
            <w:r>
              <w:rPr>
                <w:lang w:val="en-GB"/>
              </w:rPr>
              <w:t>In instance</w:t>
            </w:r>
            <w:r w:rsidR="00C1149A">
              <w:rPr>
                <w:lang w:val="en-GB"/>
              </w:rPr>
              <w:t>s when a student has</w:t>
            </w:r>
            <w:r>
              <w:rPr>
                <w:lang w:val="en-GB"/>
              </w:rPr>
              <w:t xml:space="preserve"> unavoidable, unexpected and exceptional personal or professional circumstances</w:t>
            </w:r>
            <w:r w:rsidR="00C1149A">
              <w:rPr>
                <w:lang w:val="en-GB"/>
              </w:rPr>
              <w:t xml:space="preserve"> which impacts on their ability to undertake and complete assessment(s), they should</w:t>
            </w:r>
            <w:r>
              <w:rPr>
                <w:lang w:val="en-GB"/>
              </w:rPr>
              <w:t xml:space="preserve"> documentary evidence to confirm the circumstance.</w:t>
            </w:r>
          </w:p>
        </w:tc>
      </w:tr>
      <w:tr w:rsidR="00E67D03" w14:paraId="0B7A995B" w14:textId="77777777" w:rsidTr="00A41FCC">
        <w:tc>
          <w:tcPr>
            <w:tcW w:w="2689" w:type="dxa"/>
          </w:tcPr>
          <w:p w14:paraId="2298F09F" w14:textId="0DC0F62E" w:rsidR="00E67D03" w:rsidRPr="0036174F" w:rsidRDefault="00C1149A" w:rsidP="00A41FCC">
            <w:pPr>
              <w:rPr>
                <w:b/>
                <w:bCs/>
              </w:rPr>
            </w:pPr>
            <w:r>
              <w:rPr>
                <w:b/>
                <w:bCs/>
              </w:rPr>
              <w:t>3.14.6 e</w:t>
            </w:r>
            <w:r w:rsidR="00E67D03" w:rsidRPr="0036174F">
              <w:rPr>
                <w:b/>
                <w:bCs/>
              </w:rPr>
              <w:t>. Other misadventure (e.g. Victim of crime, car accident)</w:t>
            </w:r>
          </w:p>
        </w:tc>
        <w:tc>
          <w:tcPr>
            <w:tcW w:w="7505" w:type="dxa"/>
          </w:tcPr>
          <w:p w14:paraId="6053D761" w14:textId="6DAFFB37" w:rsidR="00E67D03" w:rsidRPr="0036174F" w:rsidRDefault="00C1149A" w:rsidP="00A41FCC">
            <w:r>
              <w:t>Where a student experiences</w:t>
            </w:r>
            <w:r w:rsidR="000533F7">
              <w:t xml:space="preserve"> </w:t>
            </w:r>
            <w:r w:rsidR="00E67D03" w:rsidRPr="0036174F">
              <w:t xml:space="preserve">a significant misadventure, such as a car accident or being the victim of crime, </w:t>
            </w:r>
            <w:r>
              <w:t xml:space="preserve">which impacts on their ability to undertake assessment as required, the student </w:t>
            </w:r>
            <w:r w:rsidR="00E67D03" w:rsidRPr="0036174F">
              <w:t xml:space="preserve">must include </w:t>
            </w:r>
            <w:r>
              <w:t xml:space="preserve">an </w:t>
            </w:r>
            <w:r w:rsidR="00E67D03" w:rsidRPr="0036174F">
              <w:t>original or certified copy of appropriate evidence.</w:t>
            </w:r>
          </w:p>
        </w:tc>
      </w:tr>
      <w:tr w:rsidR="00E67D03" w14:paraId="4D0F5BDF" w14:textId="77777777" w:rsidTr="00A41FCC">
        <w:tc>
          <w:tcPr>
            <w:tcW w:w="2689" w:type="dxa"/>
          </w:tcPr>
          <w:p w14:paraId="7959E7DC" w14:textId="01AB18C2" w:rsidR="00E67D03" w:rsidRPr="0036174F" w:rsidRDefault="00C1149A" w:rsidP="00A41FCC">
            <w:pPr>
              <w:rPr>
                <w:b/>
                <w:bCs/>
              </w:rPr>
            </w:pPr>
            <w:r>
              <w:rPr>
                <w:b/>
                <w:bCs/>
              </w:rPr>
              <w:t>3.14.6 f.</w:t>
            </w:r>
            <w:r w:rsidR="009F191C">
              <w:rPr>
                <w:b/>
                <w:bCs/>
              </w:rPr>
              <w:t xml:space="preserve"> </w:t>
            </w:r>
            <w:r w:rsidR="00E67D03" w:rsidRPr="0036174F">
              <w:rPr>
                <w:b/>
                <w:bCs/>
              </w:rPr>
              <w:t>Natural disaster/major political upheaval</w:t>
            </w:r>
          </w:p>
        </w:tc>
        <w:tc>
          <w:tcPr>
            <w:tcW w:w="7505" w:type="dxa"/>
          </w:tcPr>
          <w:p w14:paraId="0920DEC8" w14:textId="0D304DAB" w:rsidR="00E67D03" w:rsidRPr="0036174F" w:rsidRDefault="00E67D03" w:rsidP="00A41FCC">
            <w:r w:rsidRPr="0036174F">
              <w:t>In instance</w:t>
            </w:r>
            <w:r w:rsidR="00C1149A">
              <w:t>s where</w:t>
            </w:r>
            <w:r w:rsidRPr="0036174F">
              <w:t xml:space="preserve"> a natural disaster </w:t>
            </w:r>
            <w:r w:rsidR="00C1149A">
              <w:t xml:space="preserve">occurs in the student’s </w:t>
            </w:r>
            <w:r w:rsidRPr="0036174F">
              <w:t xml:space="preserve">home country, or major political upheavals/civil unrest, </w:t>
            </w:r>
            <w:r w:rsidR="00C1149A">
              <w:t xml:space="preserve">and may cause </w:t>
            </w:r>
            <w:r w:rsidRPr="0036174F">
              <w:t xml:space="preserve">trauma </w:t>
            </w:r>
            <w:r w:rsidR="00C1149A">
              <w:t xml:space="preserve">to the student such that they are unable to focus on their studies, </w:t>
            </w:r>
            <w:r w:rsidRPr="0036174F">
              <w:t>an application for extension may be applied.</w:t>
            </w:r>
          </w:p>
        </w:tc>
      </w:tr>
    </w:tbl>
    <w:p w14:paraId="466B20A0" w14:textId="1FF37213" w:rsidR="00BE4C05" w:rsidRDefault="00C1149A" w:rsidP="00E67D03">
      <w:pPr>
        <w:pStyle w:val="Heading4"/>
      </w:pPr>
      <w:r>
        <w:lastRenderedPageBreak/>
        <w:t xml:space="preserve">Extenuating </w:t>
      </w:r>
      <w:r w:rsidR="00E67D03">
        <w:t xml:space="preserve">Circumstances </w:t>
      </w:r>
      <w:r>
        <w:t>(prior arrangements)</w:t>
      </w:r>
    </w:p>
    <w:tbl>
      <w:tblPr>
        <w:tblStyle w:val="TableGrid"/>
        <w:tblW w:w="0" w:type="auto"/>
        <w:tblLook w:val="04A0" w:firstRow="1" w:lastRow="0" w:firstColumn="1" w:lastColumn="0" w:noHBand="0" w:noVBand="1"/>
      </w:tblPr>
      <w:tblGrid>
        <w:gridCol w:w="2689"/>
        <w:gridCol w:w="7505"/>
      </w:tblGrid>
      <w:tr w:rsidR="00E67D03" w14:paraId="07803834" w14:textId="77777777" w:rsidTr="00A41FCC">
        <w:tc>
          <w:tcPr>
            <w:tcW w:w="10194" w:type="dxa"/>
            <w:gridSpan w:val="2"/>
          </w:tcPr>
          <w:p w14:paraId="16CF686E" w14:textId="596C043D" w:rsidR="00E67D03" w:rsidRPr="00E67D03" w:rsidRDefault="00C1149A" w:rsidP="00E67D03">
            <w:r>
              <w:t xml:space="preserve">Extenuating </w:t>
            </w:r>
            <w:r w:rsidR="00E67D03" w:rsidRPr="00E67D03">
              <w:t xml:space="preserve">Circumstances </w:t>
            </w:r>
            <w:r>
              <w:t>from 3.14.9</w:t>
            </w:r>
            <w:r w:rsidR="00E67D03" w:rsidRPr="00E67D03">
              <w:t xml:space="preserve"> relate to anticipated events or circumstances and those which have a defined time period. </w:t>
            </w:r>
          </w:p>
          <w:p w14:paraId="2DE5F052" w14:textId="77777777" w:rsidR="00E67D03" w:rsidRDefault="00E67D03" w:rsidP="00E67D03">
            <w:r w:rsidRPr="00E67D03">
              <w:t>Notification to the unit convener is required at the earliest possible opportunity, no later than 5 working days before the scheduled due date of the assessment.</w:t>
            </w:r>
          </w:p>
          <w:p w14:paraId="694141A5" w14:textId="6DDDC901" w:rsidR="00E67D03" w:rsidRDefault="00E67D03" w:rsidP="00E67D03">
            <w:r w:rsidRPr="0036174F">
              <w:rPr>
                <w:b/>
                <w:bCs/>
                <w:color w:val="47B9CF" w:themeColor="accent3" w:themeShade="BF"/>
                <w:sz w:val="28"/>
                <w:szCs w:val="28"/>
              </w:rPr>
              <w:t xml:space="preserve">See the </w:t>
            </w:r>
            <w:r w:rsidR="009A129A">
              <w:rPr>
                <w:b/>
                <w:bCs/>
                <w:i/>
                <w:iCs/>
                <w:color w:val="47B9CF" w:themeColor="accent3" w:themeShade="BF"/>
                <w:sz w:val="28"/>
                <w:szCs w:val="28"/>
              </w:rPr>
              <w:t>Supporting</w:t>
            </w:r>
            <w:r w:rsidR="009A129A" w:rsidRPr="0036174F">
              <w:rPr>
                <w:b/>
                <w:bCs/>
                <w:i/>
                <w:iCs/>
                <w:color w:val="47B9CF" w:themeColor="accent3" w:themeShade="BF"/>
                <w:sz w:val="28"/>
                <w:szCs w:val="28"/>
              </w:rPr>
              <w:t xml:space="preserve"> </w:t>
            </w:r>
            <w:r w:rsidRPr="0036174F">
              <w:rPr>
                <w:b/>
                <w:bCs/>
                <w:i/>
                <w:iCs/>
                <w:color w:val="47B9CF" w:themeColor="accent3" w:themeShade="BF"/>
                <w:sz w:val="28"/>
                <w:szCs w:val="28"/>
              </w:rPr>
              <w:t xml:space="preserve">Evidence </w:t>
            </w:r>
            <w:r w:rsidR="009A129A">
              <w:rPr>
                <w:b/>
                <w:bCs/>
                <w:i/>
                <w:iCs/>
                <w:color w:val="47B9CF" w:themeColor="accent3" w:themeShade="BF"/>
                <w:sz w:val="28"/>
                <w:szCs w:val="28"/>
              </w:rPr>
              <w:t>section</w:t>
            </w:r>
            <w:r w:rsidR="009A129A" w:rsidRPr="0036174F">
              <w:rPr>
                <w:b/>
                <w:bCs/>
                <w:color w:val="47B9CF" w:themeColor="accent3" w:themeShade="BF"/>
                <w:sz w:val="28"/>
                <w:szCs w:val="28"/>
              </w:rPr>
              <w:t xml:space="preserve"> </w:t>
            </w:r>
            <w:r w:rsidRPr="0036174F">
              <w:rPr>
                <w:b/>
                <w:bCs/>
                <w:color w:val="47B9CF" w:themeColor="accent3" w:themeShade="BF"/>
                <w:sz w:val="28"/>
                <w:szCs w:val="28"/>
              </w:rPr>
              <w:t>above.</w:t>
            </w:r>
          </w:p>
        </w:tc>
      </w:tr>
      <w:tr w:rsidR="00E67D03" w14:paraId="5FEE5ACF" w14:textId="77777777" w:rsidTr="00E67D03">
        <w:tc>
          <w:tcPr>
            <w:tcW w:w="2689" w:type="dxa"/>
          </w:tcPr>
          <w:p w14:paraId="20CFE383" w14:textId="5812A27F" w:rsidR="00E67D03" w:rsidRPr="00E67D03" w:rsidRDefault="00C1149A" w:rsidP="00E67D03">
            <w:pPr>
              <w:rPr>
                <w:b/>
                <w:bCs/>
              </w:rPr>
            </w:pPr>
            <w:r>
              <w:rPr>
                <w:b/>
                <w:bCs/>
              </w:rPr>
              <w:t>3.14.9</w:t>
            </w:r>
            <w:r w:rsidR="00E67D03" w:rsidRPr="00E67D03">
              <w:rPr>
                <w:b/>
                <w:bCs/>
              </w:rPr>
              <w:t>.Sporting commitments at the state or national level</w:t>
            </w:r>
          </w:p>
        </w:tc>
        <w:tc>
          <w:tcPr>
            <w:tcW w:w="7505" w:type="dxa"/>
          </w:tcPr>
          <w:p w14:paraId="6257DE0C" w14:textId="78AA2901" w:rsidR="00E67D03" w:rsidRPr="00E67D03" w:rsidRDefault="00C1149A" w:rsidP="00E67D03">
            <w:r>
              <w:rPr>
                <w:lang w:val="en-GB"/>
              </w:rPr>
              <w:t xml:space="preserve">On occasions when a student is </w:t>
            </w:r>
            <w:r w:rsidR="00E67D03">
              <w:rPr>
                <w:lang w:val="en-GB"/>
              </w:rPr>
              <w:t xml:space="preserve">selected to participate at the state or national level in a sport, applications must include an original or certified copy of documentation from the authority detailing </w:t>
            </w:r>
            <w:r w:rsidR="00727BFB">
              <w:rPr>
                <w:lang w:val="en-GB"/>
              </w:rPr>
              <w:t xml:space="preserve">their </w:t>
            </w:r>
            <w:r w:rsidR="00E67D03">
              <w:rPr>
                <w:lang w:val="en-GB"/>
              </w:rPr>
              <w:t xml:space="preserve">selection and the timeframe </w:t>
            </w:r>
            <w:r w:rsidR="00727BFB">
              <w:rPr>
                <w:lang w:val="en-GB"/>
              </w:rPr>
              <w:t>they will be required for</w:t>
            </w:r>
            <w:r w:rsidR="00E67D03">
              <w:rPr>
                <w:lang w:val="en-GB"/>
              </w:rPr>
              <w:t xml:space="preserve"> representative duties.</w:t>
            </w:r>
          </w:p>
        </w:tc>
      </w:tr>
      <w:tr w:rsidR="00E67D03" w14:paraId="1686A823" w14:textId="77777777" w:rsidTr="00E67D03">
        <w:tc>
          <w:tcPr>
            <w:tcW w:w="2689" w:type="dxa"/>
          </w:tcPr>
          <w:p w14:paraId="561E98FB" w14:textId="32F409EB" w:rsidR="00E67D03" w:rsidRPr="00E67D03" w:rsidRDefault="00727BFB" w:rsidP="00E67D03">
            <w:pPr>
              <w:rPr>
                <w:b/>
                <w:bCs/>
              </w:rPr>
            </w:pPr>
            <w:r>
              <w:rPr>
                <w:b/>
                <w:bCs/>
                <w:lang w:val="en-GB"/>
              </w:rPr>
              <w:t>3.14.9 b</w:t>
            </w:r>
            <w:r w:rsidR="00E67D03" w:rsidRPr="00E67D03">
              <w:rPr>
                <w:b/>
                <w:bCs/>
                <w:lang w:val="en-GB"/>
              </w:rPr>
              <w:t>. Voluntary military or emergency service commitments</w:t>
            </w:r>
          </w:p>
        </w:tc>
        <w:tc>
          <w:tcPr>
            <w:tcW w:w="7505" w:type="dxa"/>
          </w:tcPr>
          <w:p w14:paraId="6EDFB098" w14:textId="3D2E4C0F" w:rsidR="00E67D03" w:rsidRPr="00E67D03" w:rsidRDefault="00727BFB" w:rsidP="00E67D03">
            <w:r>
              <w:rPr>
                <w:lang w:val="en-GB"/>
              </w:rPr>
              <w:t>When a student has</w:t>
            </w:r>
            <w:r w:rsidR="00E67D03">
              <w:rPr>
                <w:lang w:val="en-GB"/>
              </w:rPr>
              <w:t xml:space="preserve"> </w:t>
            </w:r>
            <w:r>
              <w:rPr>
                <w:lang w:val="en-GB"/>
              </w:rPr>
              <w:t xml:space="preserve">volunteered </w:t>
            </w:r>
            <w:r w:rsidR="00E67D03">
              <w:rPr>
                <w:lang w:val="en-GB"/>
              </w:rPr>
              <w:t xml:space="preserve">for military or emergency service, </w:t>
            </w:r>
            <w:r>
              <w:rPr>
                <w:lang w:val="en-GB"/>
              </w:rPr>
              <w:t xml:space="preserve">students must </w:t>
            </w:r>
            <w:r w:rsidR="006A0ABF">
              <w:rPr>
                <w:lang w:val="en-GB"/>
              </w:rPr>
              <w:t>provide</w:t>
            </w:r>
            <w:r w:rsidR="00E67D03">
              <w:rPr>
                <w:lang w:val="en-GB"/>
              </w:rPr>
              <w:t xml:space="preserve"> an original or certified copy of documentation from the relevant entity stating required dates of service.</w:t>
            </w:r>
          </w:p>
        </w:tc>
      </w:tr>
      <w:tr w:rsidR="00E67D03" w14:paraId="1195B13D" w14:textId="77777777" w:rsidTr="00E67D03">
        <w:tc>
          <w:tcPr>
            <w:tcW w:w="2689" w:type="dxa"/>
          </w:tcPr>
          <w:p w14:paraId="46ED165D" w14:textId="3428A016" w:rsidR="00E67D03" w:rsidRPr="00E67D03" w:rsidRDefault="006A0ABF" w:rsidP="00E67D03">
            <w:pPr>
              <w:rPr>
                <w:b/>
                <w:bCs/>
              </w:rPr>
            </w:pPr>
            <w:r>
              <w:rPr>
                <w:b/>
                <w:bCs/>
              </w:rPr>
              <w:t>3.14.9 c</w:t>
            </w:r>
            <w:r w:rsidR="00E67D03" w:rsidRPr="00E67D03">
              <w:rPr>
                <w:b/>
                <w:bCs/>
              </w:rPr>
              <w:t>. Representing the University of Canberra in national/ international event</w:t>
            </w:r>
            <w:r>
              <w:rPr>
                <w:b/>
                <w:bCs/>
              </w:rPr>
              <w:t>s</w:t>
            </w:r>
          </w:p>
        </w:tc>
        <w:tc>
          <w:tcPr>
            <w:tcW w:w="7505" w:type="dxa"/>
          </w:tcPr>
          <w:p w14:paraId="107FCAD9" w14:textId="35E4C4BC" w:rsidR="00E67D03" w:rsidRDefault="00E67D03" w:rsidP="00E67D03">
            <w:r w:rsidRPr="00E67D03">
              <w:t>In</w:t>
            </w:r>
            <w:r>
              <w:rPr>
                <w:lang w:val="en-GB"/>
              </w:rPr>
              <w:t xml:space="preserve"> instance</w:t>
            </w:r>
            <w:r w:rsidR="006A0ABF">
              <w:rPr>
                <w:lang w:val="en-GB"/>
              </w:rPr>
              <w:t>s where a student has been asked to</w:t>
            </w:r>
            <w:r>
              <w:rPr>
                <w:lang w:val="en-GB"/>
              </w:rPr>
              <w:t xml:space="preserve">  represent the university in sporting, business, academic or other events, </w:t>
            </w:r>
            <w:r w:rsidR="006A0ABF">
              <w:rPr>
                <w:lang w:val="en-GB"/>
              </w:rPr>
              <w:t xml:space="preserve">a supporting document </w:t>
            </w:r>
            <w:r>
              <w:rPr>
                <w:lang w:val="en-GB"/>
              </w:rPr>
              <w:t xml:space="preserve">from the relevant faculty or business unit </w:t>
            </w:r>
            <w:r w:rsidR="006A0ABF">
              <w:rPr>
                <w:lang w:val="en-GB"/>
              </w:rPr>
              <w:t xml:space="preserve">must be included giving </w:t>
            </w:r>
            <w:r>
              <w:rPr>
                <w:lang w:val="en-GB"/>
              </w:rPr>
              <w:t>details of the representation and expected dates of absence.</w:t>
            </w:r>
          </w:p>
        </w:tc>
      </w:tr>
      <w:tr w:rsidR="00E67D03" w14:paraId="62FBD530" w14:textId="77777777" w:rsidTr="00E67D03">
        <w:tc>
          <w:tcPr>
            <w:tcW w:w="2689" w:type="dxa"/>
          </w:tcPr>
          <w:p w14:paraId="36BD32CC" w14:textId="245C3D6F" w:rsidR="00E67D03" w:rsidRPr="00E67D03" w:rsidRDefault="006A0ABF" w:rsidP="00E67D03">
            <w:pPr>
              <w:rPr>
                <w:b/>
                <w:bCs/>
              </w:rPr>
            </w:pPr>
            <w:r>
              <w:rPr>
                <w:b/>
                <w:bCs/>
              </w:rPr>
              <w:t>3.14.9 d.</w:t>
            </w:r>
            <w:r w:rsidR="00E67D03" w:rsidRPr="00E67D03">
              <w:rPr>
                <w:b/>
                <w:bCs/>
              </w:rPr>
              <w:t>. Jury duty/service</w:t>
            </w:r>
          </w:p>
        </w:tc>
        <w:tc>
          <w:tcPr>
            <w:tcW w:w="7505" w:type="dxa"/>
          </w:tcPr>
          <w:p w14:paraId="13529A72" w14:textId="01AD9CB3" w:rsidR="00E67D03" w:rsidRPr="00E67D03" w:rsidRDefault="006A0ABF" w:rsidP="00E67D03">
            <w:r>
              <w:t xml:space="preserve">If a student has been notified </w:t>
            </w:r>
            <w:r w:rsidR="00E67D03" w:rsidRPr="00E67D03">
              <w:t>of jury duty which conflicts with the assessment, the application must include an original or certified copy of the jury duty summons and dates of service.</w:t>
            </w:r>
          </w:p>
        </w:tc>
      </w:tr>
      <w:tr w:rsidR="00E67D03" w14:paraId="2EA7F93A" w14:textId="77777777" w:rsidTr="00E67D03">
        <w:tc>
          <w:tcPr>
            <w:tcW w:w="2689" w:type="dxa"/>
          </w:tcPr>
          <w:p w14:paraId="722E811B" w14:textId="7C613C8A" w:rsidR="00E67D03" w:rsidRPr="00E67D03" w:rsidRDefault="006A0ABF" w:rsidP="00E67D03">
            <w:pPr>
              <w:rPr>
                <w:b/>
                <w:bCs/>
              </w:rPr>
            </w:pPr>
            <w:r>
              <w:rPr>
                <w:b/>
                <w:bCs/>
              </w:rPr>
              <w:t>3.14.9 e</w:t>
            </w:r>
            <w:r w:rsidR="00E67D03" w:rsidRPr="00E67D03">
              <w:rPr>
                <w:b/>
                <w:bCs/>
              </w:rPr>
              <w:t>. Birth or adoption of a child</w:t>
            </w:r>
          </w:p>
        </w:tc>
        <w:tc>
          <w:tcPr>
            <w:tcW w:w="7505" w:type="dxa"/>
          </w:tcPr>
          <w:p w14:paraId="7D1BCD82" w14:textId="1D425376" w:rsidR="00E67D03" w:rsidRDefault="006A0ABF" w:rsidP="00E67D03">
            <w:r>
              <w:rPr>
                <w:lang w:val="en-GB"/>
              </w:rPr>
              <w:t xml:space="preserve">A student or partner that gives birth to, or adopts, a child </w:t>
            </w:r>
            <w:r w:rsidR="00E67D03">
              <w:rPr>
                <w:lang w:val="en-GB"/>
              </w:rPr>
              <w:t>during a period that coincides with assessment</w:t>
            </w:r>
            <w:r>
              <w:rPr>
                <w:lang w:val="en-GB"/>
              </w:rPr>
              <w:t>(s)</w:t>
            </w:r>
            <w:r w:rsidR="00E67D03">
              <w:rPr>
                <w:lang w:val="en-GB"/>
              </w:rPr>
              <w:t xml:space="preserve"> item due date</w:t>
            </w:r>
            <w:r>
              <w:rPr>
                <w:lang w:val="en-GB"/>
              </w:rPr>
              <w:t>(s)</w:t>
            </w:r>
            <w:r w:rsidR="00E67D03">
              <w:rPr>
                <w:lang w:val="en-GB"/>
              </w:rPr>
              <w:t xml:space="preserve">, </w:t>
            </w:r>
            <w:r>
              <w:rPr>
                <w:lang w:val="en-GB"/>
              </w:rPr>
              <w:t xml:space="preserve">must contact the unit convener to make alternate arrangements for submission, providing </w:t>
            </w:r>
            <w:r w:rsidR="00E67D03">
              <w:rPr>
                <w:lang w:val="en-GB"/>
              </w:rPr>
              <w:t>written evidence of the birth/adoption.</w:t>
            </w:r>
          </w:p>
        </w:tc>
      </w:tr>
      <w:tr w:rsidR="00E67D03" w14:paraId="566F68C4" w14:textId="77777777" w:rsidTr="00E67D03">
        <w:tc>
          <w:tcPr>
            <w:tcW w:w="2689" w:type="dxa"/>
          </w:tcPr>
          <w:p w14:paraId="7D10E96D" w14:textId="148892C9" w:rsidR="00E67D03" w:rsidRPr="00E67D03" w:rsidRDefault="006A0ABF" w:rsidP="00E67D03">
            <w:pPr>
              <w:rPr>
                <w:b/>
                <w:bCs/>
              </w:rPr>
            </w:pPr>
            <w:r>
              <w:rPr>
                <w:b/>
                <w:bCs/>
              </w:rPr>
              <w:t>3.14.9 f.</w:t>
            </w:r>
            <w:r w:rsidR="00E67D03" w:rsidRPr="00E67D03">
              <w:rPr>
                <w:b/>
                <w:bCs/>
              </w:rPr>
              <w:t>. Court mandated appearances</w:t>
            </w:r>
          </w:p>
        </w:tc>
        <w:tc>
          <w:tcPr>
            <w:tcW w:w="7505" w:type="dxa"/>
          </w:tcPr>
          <w:p w14:paraId="0CD8061E" w14:textId="5B3C23DE" w:rsidR="00E67D03" w:rsidRPr="00E67D03" w:rsidRDefault="00E67D03" w:rsidP="00E67D03">
            <w:r>
              <w:rPr>
                <w:lang w:val="en-GB"/>
              </w:rPr>
              <w:t>I</w:t>
            </w:r>
            <w:r w:rsidR="006A0ABF">
              <w:rPr>
                <w:lang w:val="en-GB"/>
              </w:rPr>
              <w:t xml:space="preserve">f a student is required </w:t>
            </w:r>
            <w:r>
              <w:rPr>
                <w:lang w:val="en-GB"/>
              </w:rPr>
              <w:t xml:space="preserve">by law to appear in court, </w:t>
            </w:r>
            <w:r w:rsidR="006A0ABF">
              <w:rPr>
                <w:lang w:val="en-GB"/>
              </w:rPr>
              <w:t>they</w:t>
            </w:r>
            <w:r>
              <w:rPr>
                <w:lang w:val="en-GB"/>
              </w:rPr>
              <w:t xml:space="preserve"> must include an original or certified copy of the papers requesting </w:t>
            </w:r>
            <w:r w:rsidR="006A0ABF">
              <w:rPr>
                <w:lang w:val="en-GB"/>
              </w:rPr>
              <w:t xml:space="preserve">their </w:t>
            </w:r>
            <w:r>
              <w:rPr>
                <w:lang w:val="en-GB"/>
              </w:rPr>
              <w:t>attendance in court.</w:t>
            </w:r>
          </w:p>
        </w:tc>
      </w:tr>
      <w:tr w:rsidR="00E67D03" w14:paraId="6A28342F" w14:textId="77777777" w:rsidTr="00E67D03">
        <w:tc>
          <w:tcPr>
            <w:tcW w:w="2689" w:type="dxa"/>
          </w:tcPr>
          <w:p w14:paraId="0B130611" w14:textId="2D38D809" w:rsidR="00E67D03" w:rsidRPr="00E67D03" w:rsidRDefault="006A0ABF" w:rsidP="00E67D03">
            <w:pPr>
              <w:rPr>
                <w:b/>
                <w:bCs/>
              </w:rPr>
            </w:pPr>
            <w:r>
              <w:rPr>
                <w:b/>
                <w:bCs/>
              </w:rPr>
              <w:t>3.14.9 g</w:t>
            </w:r>
            <w:r w:rsidR="00E67D03" w:rsidRPr="00E67D03">
              <w:rPr>
                <w:b/>
                <w:bCs/>
              </w:rPr>
              <w:t>. Cultural or religious reasons</w:t>
            </w:r>
          </w:p>
        </w:tc>
        <w:tc>
          <w:tcPr>
            <w:tcW w:w="7505" w:type="dxa"/>
          </w:tcPr>
          <w:p w14:paraId="73DC6C00" w14:textId="1CD6EF7D" w:rsidR="00E67D03" w:rsidRPr="00E67D03" w:rsidRDefault="006A0ABF" w:rsidP="00E67D03">
            <w:r>
              <w:rPr>
                <w:lang w:val="en-GB"/>
              </w:rPr>
              <w:t xml:space="preserve">A student may cite </w:t>
            </w:r>
            <w:r w:rsidR="00E67D03">
              <w:rPr>
                <w:lang w:val="en-GB"/>
              </w:rPr>
              <w:t>cultural or religious reasons</w:t>
            </w:r>
            <w:r>
              <w:rPr>
                <w:lang w:val="en-GB"/>
              </w:rPr>
              <w:t xml:space="preserve"> for seeking an extension for submission of assessment(s)</w:t>
            </w:r>
            <w:r w:rsidR="00E67D03">
              <w:rPr>
                <w:lang w:val="en-GB"/>
              </w:rPr>
              <w:t xml:space="preserve">, </w:t>
            </w:r>
            <w:r>
              <w:rPr>
                <w:lang w:val="en-GB"/>
              </w:rPr>
              <w:t>In such circumstan</w:t>
            </w:r>
            <w:r w:rsidR="00986D4D">
              <w:rPr>
                <w:lang w:val="en-GB"/>
              </w:rPr>
              <w:t>c</w:t>
            </w:r>
            <w:r>
              <w:rPr>
                <w:lang w:val="en-GB"/>
              </w:rPr>
              <w:t>es, the student</w:t>
            </w:r>
            <w:r w:rsidR="00E67D03">
              <w:rPr>
                <w:lang w:val="en-GB"/>
              </w:rPr>
              <w:t xml:space="preserve"> must </w:t>
            </w:r>
            <w:r>
              <w:rPr>
                <w:lang w:val="en-GB"/>
              </w:rPr>
              <w:t xml:space="preserve">submit </w:t>
            </w:r>
            <w:r w:rsidR="00E67D03">
              <w:rPr>
                <w:lang w:val="en-GB"/>
              </w:rPr>
              <w:t>a statement detailing the religious/cultural event and if suitable, a supporting letter from the</w:t>
            </w:r>
            <w:r>
              <w:rPr>
                <w:lang w:val="en-GB"/>
              </w:rPr>
              <w:t>ir</w:t>
            </w:r>
            <w:r w:rsidR="00E67D03">
              <w:rPr>
                <w:lang w:val="en-GB"/>
              </w:rPr>
              <w:t xml:space="preserve"> religious/cultural leader.</w:t>
            </w:r>
          </w:p>
        </w:tc>
      </w:tr>
      <w:tr w:rsidR="00E67D03" w14:paraId="05F582EC" w14:textId="77777777" w:rsidTr="00E67D03">
        <w:trPr>
          <w:trHeight w:val="90"/>
        </w:trPr>
        <w:tc>
          <w:tcPr>
            <w:tcW w:w="2689" w:type="dxa"/>
          </w:tcPr>
          <w:p w14:paraId="2366D667" w14:textId="5B92B270" w:rsidR="00E67D03" w:rsidRPr="00E67D03" w:rsidRDefault="006A0ABF" w:rsidP="00E67D03">
            <w:pPr>
              <w:rPr>
                <w:b/>
                <w:bCs/>
              </w:rPr>
            </w:pPr>
            <w:r>
              <w:rPr>
                <w:b/>
                <w:bCs/>
              </w:rPr>
              <w:t>3.14.9 h</w:t>
            </w:r>
            <w:r w:rsidR="00E67D03" w:rsidRPr="00E67D03">
              <w:rPr>
                <w:b/>
                <w:bCs/>
              </w:rPr>
              <w:t>. Reasonable Adjustments</w:t>
            </w:r>
            <w:r w:rsidR="009F191C">
              <w:rPr>
                <w:b/>
                <w:bCs/>
              </w:rPr>
              <w:t>*</w:t>
            </w:r>
          </w:p>
        </w:tc>
        <w:tc>
          <w:tcPr>
            <w:tcW w:w="7505" w:type="dxa"/>
          </w:tcPr>
          <w:p w14:paraId="3B3BF367" w14:textId="6252033B" w:rsidR="00E67D03" w:rsidRPr="00E67D03" w:rsidRDefault="006A0ABF" w:rsidP="00E67D03">
            <w:r>
              <w:rPr>
                <w:lang w:val="en-GB"/>
              </w:rPr>
              <w:t xml:space="preserve">Some students </w:t>
            </w:r>
            <w:r w:rsidR="00E67D03">
              <w:rPr>
                <w:lang w:val="en-GB"/>
              </w:rPr>
              <w:t xml:space="preserve">registered with a disability or ongoing health condition through the </w:t>
            </w:r>
            <w:hyperlink r:id="rId15" w:history="1">
              <w:r w:rsidR="00E67D03">
                <w:rPr>
                  <w:color w:val="1962A1"/>
                  <w:lang w:val="en-GB"/>
                </w:rPr>
                <w:t xml:space="preserve">Inclusion &amp; Engagement </w:t>
              </w:r>
            </w:hyperlink>
            <w:r w:rsidR="00E67D03">
              <w:rPr>
                <w:lang w:val="en-GB"/>
              </w:rPr>
              <w:t xml:space="preserve">service </w:t>
            </w:r>
            <w:r>
              <w:rPr>
                <w:lang w:val="en-GB"/>
              </w:rPr>
              <w:t xml:space="preserve">will have agreed </w:t>
            </w:r>
            <w:r w:rsidR="00E67D03">
              <w:rPr>
                <w:lang w:val="en-GB"/>
              </w:rPr>
              <w:t xml:space="preserve">extensions </w:t>
            </w:r>
            <w:r>
              <w:rPr>
                <w:lang w:val="en-GB"/>
              </w:rPr>
              <w:t xml:space="preserve">to allow them to participate on the same basis as others. The extensions will be detailed on their </w:t>
            </w:r>
            <w:r w:rsidR="00E67D03">
              <w:rPr>
                <w:lang w:val="en-GB"/>
              </w:rPr>
              <w:t>Reasonable Adjustment Plans</w:t>
            </w:r>
            <w:r>
              <w:rPr>
                <w:lang w:val="en-GB"/>
              </w:rPr>
              <w:t>. It is advised that in these instances</w:t>
            </w:r>
            <w:r w:rsidR="00E67D03">
              <w:rPr>
                <w:lang w:val="en-GB"/>
              </w:rPr>
              <w:t xml:space="preserve"> students should inform their unit convener.</w:t>
            </w:r>
          </w:p>
        </w:tc>
      </w:tr>
    </w:tbl>
    <w:p w14:paraId="3EB3F917" w14:textId="68C5B458" w:rsidR="009F191C" w:rsidRDefault="009F191C" w:rsidP="009F191C">
      <w:pPr>
        <w:rPr>
          <w:b/>
          <w:bCs/>
        </w:rPr>
      </w:pPr>
      <w:r>
        <w:t xml:space="preserve">*The nature of some student’s disability or ongoing health condition may mean that their inability to complete an assignment by the due date should be considered and treated as unanticipated and in that case the expectation is that </w:t>
      </w:r>
      <w:r w:rsidRPr="0036174F">
        <w:rPr>
          <w:b/>
          <w:bCs/>
        </w:rPr>
        <w:t>Notification to the unit convener is required as soon as possible after the event or before the event where circumstances allow.</w:t>
      </w:r>
    </w:p>
    <w:p w14:paraId="36AC5CAB" w14:textId="1967B908" w:rsidR="00E67D03" w:rsidRPr="00E67D03" w:rsidRDefault="00E67D03" w:rsidP="00B1080D"/>
    <w:sectPr w:rsidR="00E67D03" w:rsidRPr="00E67D03" w:rsidSect="00517034">
      <w:headerReference w:type="default" r:id="rId16"/>
      <w:footerReference w:type="default" r:id="rId17"/>
      <w:endnotePr>
        <w:numFmt w:val="decimal"/>
      </w:endnotePr>
      <w:pgSz w:w="11906" w:h="16838"/>
      <w:pgMar w:top="2268" w:right="851" w:bottom="187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376CF" w14:textId="77777777" w:rsidR="00300F38" w:rsidRDefault="00300F38" w:rsidP="00D86959">
      <w:pPr>
        <w:spacing w:after="0"/>
      </w:pPr>
      <w:r>
        <w:separator/>
      </w:r>
    </w:p>
  </w:endnote>
  <w:endnote w:type="continuationSeparator" w:id="0">
    <w:p w14:paraId="073E04DC" w14:textId="77777777" w:rsidR="00300F38" w:rsidRDefault="00300F38" w:rsidP="00D86959">
      <w:pPr>
        <w:spacing w:after="0"/>
      </w:pPr>
      <w:r>
        <w:continuationSeparator/>
      </w:r>
    </w:p>
  </w:endnote>
  <w:endnote w:type="continuationNotice" w:id="1">
    <w:p w14:paraId="3918E271" w14:textId="77777777" w:rsidR="00300F38" w:rsidRDefault="00300F3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yriad Pro">
    <w:altName w:val="Arial"/>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4159193"/>
      <w:docPartObj>
        <w:docPartGallery w:val="Page Numbers (Bottom of Page)"/>
        <w:docPartUnique/>
      </w:docPartObj>
    </w:sdtPr>
    <w:sdtEndPr>
      <w:rPr>
        <w:noProof/>
      </w:rPr>
    </w:sdtEndPr>
    <w:sdtContent>
      <w:p w14:paraId="2F6474C3" w14:textId="77777777" w:rsidR="00D464BC" w:rsidRDefault="00D464BC" w:rsidP="00E50B6C">
        <w:pPr>
          <w:pStyle w:val="Footer"/>
          <w:ind w:firstLine="720"/>
          <w:jc w:val="right"/>
        </w:pPr>
        <w:r w:rsidRPr="00D464BC">
          <w:rPr>
            <w:b/>
            <w:color w:val="00A9CE" w:themeColor="accent1"/>
          </w:rPr>
          <w:fldChar w:fldCharType="begin"/>
        </w:r>
        <w:r w:rsidRPr="00D464BC">
          <w:rPr>
            <w:b/>
            <w:color w:val="00A9CE" w:themeColor="accent1"/>
          </w:rPr>
          <w:instrText xml:space="preserve"> PAGE   \* MERGEFORMAT </w:instrText>
        </w:r>
        <w:r w:rsidRPr="00D464BC">
          <w:rPr>
            <w:b/>
            <w:color w:val="00A9CE" w:themeColor="accent1"/>
          </w:rPr>
          <w:fldChar w:fldCharType="separate"/>
        </w:r>
        <w:r w:rsidR="00F96FB1">
          <w:rPr>
            <w:b/>
            <w:noProof/>
            <w:color w:val="00A9CE" w:themeColor="accent1"/>
          </w:rPr>
          <w:t>1</w:t>
        </w:r>
        <w:r w:rsidRPr="00D464BC">
          <w:rPr>
            <w:b/>
            <w:noProof/>
            <w:color w:val="00A9CE" w:themeColor="accent1"/>
          </w:rPr>
          <w:fldChar w:fldCharType="end"/>
        </w:r>
      </w:p>
    </w:sdtContent>
  </w:sdt>
  <w:p w14:paraId="3BE03108" w14:textId="77777777" w:rsidR="00D464BC" w:rsidRDefault="00D46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03238" w14:textId="77777777" w:rsidR="00300F38" w:rsidRDefault="00300F38" w:rsidP="00D86959">
      <w:pPr>
        <w:spacing w:after="0"/>
      </w:pPr>
      <w:r>
        <w:separator/>
      </w:r>
    </w:p>
  </w:footnote>
  <w:footnote w:type="continuationSeparator" w:id="0">
    <w:p w14:paraId="482DD12D" w14:textId="77777777" w:rsidR="00300F38" w:rsidRDefault="00300F38" w:rsidP="00D86959">
      <w:pPr>
        <w:spacing w:after="0"/>
      </w:pPr>
      <w:r>
        <w:continuationSeparator/>
      </w:r>
    </w:p>
  </w:footnote>
  <w:footnote w:type="continuationNotice" w:id="1">
    <w:p w14:paraId="4AC2D4AF" w14:textId="77777777" w:rsidR="00300F38" w:rsidRDefault="00300F3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2D8CD" w14:textId="77777777" w:rsidR="00D86959" w:rsidRDefault="00D86959">
    <w:pPr>
      <w:pStyle w:val="Header"/>
    </w:pPr>
    <w:r>
      <w:rPr>
        <w:noProof/>
        <w:lang w:val="en-GB" w:eastAsia="en-GB"/>
      </w:rPr>
      <w:drawing>
        <wp:anchor distT="0" distB="0" distL="114300" distR="114300" simplePos="0" relativeHeight="251658240" behindDoc="1" locked="0" layoutInCell="1" allowOverlap="1" wp14:anchorId="223FDCFB" wp14:editId="070D4727">
          <wp:simplePos x="0" y="0"/>
          <wp:positionH relativeFrom="page">
            <wp:posOffset>13441</wp:posOffset>
          </wp:positionH>
          <wp:positionV relativeFrom="page">
            <wp:posOffset>12700</wp:posOffset>
          </wp:positionV>
          <wp:extent cx="7533318" cy="10656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amp; footer.jpg"/>
                  <pic:cNvPicPr/>
                </pic:nvPicPr>
                <pic:blipFill>
                  <a:blip r:embed="rId1" cstate="print">
                    <a:extLst>
                      <a:ext uri="{28A0092B-C50C-407E-A947-70E740481C1C}">
                        <a14:useLocalDpi xmlns:a14="http://schemas.microsoft.com/office/drawing/2010/main"/>
                      </a:ext>
                    </a:extLst>
                  </a:blip>
                  <a:stretch>
                    <a:fillRect/>
                  </a:stretch>
                </pic:blipFill>
                <pic:spPr>
                  <a:xfrm>
                    <a:off x="0" y="0"/>
                    <a:ext cx="7533318" cy="1065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C7283"/>
    <w:multiLevelType w:val="hybridMultilevel"/>
    <w:tmpl w:val="D97CE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EB02AEA"/>
    <w:multiLevelType w:val="hybridMultilevel"/>
    <w:tmpl w:val="3B440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1C3618"/>
    <w:multiLevelType w:val="hybridMultilevel"/>
    <w:tmpl w:val="C73E26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03"/>
    <w:rsid w:val="000525FA"/>
    <w:rsid w:val="000533F7"/>
    <w:rsid w:val="00105325"/>
    <w:rsid w:val="001075DA"/>
    <w:rsid w:val="00190819"/>
    <w:rsid w:val="001A120A"/>
    <w:rsid w:val="001B01DC"/>
    <w:rsid w:val="001D2355"/>
    <w:rsid w:val="0020035C"/>
    <w:rsid w:val="00237E93"/>
    <w:rsid w:val="00246D08"/>
    <w:rsid w:val="00253E17"/>
    <w:rsid w:val="00300F38"/>
    <w:rsid w:val="003A4A85"/>
    <w:rsid w:val="004317E5"/>
    <w:rsid w:val="00517034"/>
    <w:rsid w:val="00530AA5"/>
    <w:rsid w:val="0053679C"/>
    <w:rsid w:val="0055062A"/>
    <w:rsid w:val="005F6DC0"/>
    <w:rsid w:val="00601CD7"/>
    <w:rsid w:val="0061404B"/>
    <w:rsid w:val="00626C09"/>
    <w:rsid w:val="00666BA8"/>
    <w:rsid w:val="00671434"/>
    <w:rsid w:val="00674D6E"/>
    <w:rsid w:val="0067682E"/>
    <w:rsid w:val="00691B45"/>
    <w:rsid w:val="006A0ABF"/>
    <w:rsid w:val="006F1420"/>
    <w:rsid w:val="00704DF2"/>
    <w:rsid w:val="00727BFB"/>
    <w:rsid w:val="0079575C"/>
    <w:rsid w:val="00805C7E"/>
    <w:rsid w:val="008114E7"/>
    <w:rsid w:val="008B7970"/>
    <w:rsid w:val="008E699A"/>
    <w:rsid w:val="00986D4D"/>
    <w:rsid w:val="009A129A"/>
    <w:rsid w:val="009F191C"/>
    <w:rsid w:val="00A41FCC"/>
    <w:rsid w:val="00A6422E"/>
    <w:rsid w:val="00A96274"/>
    <w:rsid w:val="00B1080D"/>
    <w:rsid w:val="00B404B1"/>
    <w:rsid w:val="00B63FED"/>
    <w:rsid w:val="00BE4C05"/>
    <w:rsid w:val="00C1149A"/>
    <w:rsid w:val="00C152F4"/>
    <w:rsid w:val="00C22EA7"/>
    <w:rsid w:val="00C248EA"/>
    <w:rsid w:val="00C726C4"/>
    <w:rsid w:val="00D464BC"/>
    <w:rsid w:val="00D474A3"/>
    <w:rsid w:val="00D64D7F"/>
    <w:rsid w:val="00D86144"/>
    <w:rsid w:val="00D86959"/>
    <w:rsid w:val="00DB345D"/>
    <w:rsid w:val="00E01CF5"/>
    <w:rsid w:val="00E36EA8"/>
    <w:rsid w:val="00E50B6C"/>
    <w:rsid w:val="00E67D03"/>
    <w:rsid w:val="00E740A1"/>
    <w:rsid w:val="00F33282"/>
    <w:rsid w:val="00F35DB0"/>
    <w:rsid w:val="00F96FB1"/>
    <w:rsid w:val="00F9787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209B56"/>
  <w15:docId w15:val="{FC19ECBC-3B2F-420B-9F80-686D68A1D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F191C"/>
    <w:pPr>
      <w:spacing w:before="40" w:after="40" w:line="240" w:lineRule="auto"/>
    </w:pPr>
    <w:rPr>
      <w:color w:val="58595B" w:themeColor="accent2"/>
    </w:rPr>
  </w:style>
  <w:style w:type="paragraph" w:styleId="Heading1">
    <w:name w:val="heading 1"/>
    <w:basedOn w:val="Normal"/>
    <w:next w:val="Normal"/>
    <w:link w:val="Heading1Char"/>
    <w:uiPriority w:val="9"/>
    <w:qFormat/>
    <w:rsid w:val="00D86959"/>
    <w:pPr>
      <w:keepNext/>
      <w:keepLines/>
      <w:spacing w:after="480"/>
      <w:outlineLvl w:val="0"/>
    </w:pPr>
    <w:rPr>
      <w:rFonts w:asciiTheme="majorHAnsi" w:eastAsiaTheme="majorEastAsia" w:hAnsiTheme="majorHAnsi" w:cstheme="majorBidi"/>
      <w:b/>
      <w:bCs/>
      <w:color w:val="00A9CE" w:themeColor="accent1"/>
      <w:sz w:val="60"/>
      <w:szCs w:val="28"/>
    </w:rPr>
  </w:style>
  <w:style w:type="paragraph" w:styleId="Heading2">
    <w:name w:val="heading 2"/>
    <w:basedOn w:val="Normal"/>
    <w:next w:val="Normal"/>
    <w:link w:val="Heading2Char"/>
    <w:uiPriority w:val="9"/>
    <w:unhideWhenUsed/>
    <w:qFormat/>
    <w:rsid w:val="00D86959"/>
    <w:pPr>
      <w:keepNext/>
      <w:keepLines/>
      <w:spacing w:after="60"/>
      <w:outlineLvl w:val="1"/>
    </w:pPr>
    <w:rPr>
      <w:rFonts w:asciiTheme="majorHAnsi" w:eastAsiaTheme="majorEastAsia" w:hAnsiTheme="majorHAnsi" w:cstheme="majorBidi"/>
      <w:b/>
      <w:bCs/>
      <w:color w:val="00A9CE" w:themeColor="accent1"/>
      <w:sz w:val="44"/>
      <w:szCs w:val="26"/>
    </w:rPr>
  </w:style>
  <w:style w:type="paragraph" w:styleId="Heading3">
    <w:name w:val="heading 3"/>
    <w:basedOn w:val="Normal"/>
    <w:next w:val="Normal"/>
    <w:link w:val="Heading3Char"/>
    <w:uiPriority w:val="9"/>
    <w:unhideWhenUsed/>
    <w:qFormat/>
    <w:rsid w:val="00D86959"/>
    <w:pPr>
      <w:keepNext/>
      <w:keepLines/>
      <w:spacing w:after="60"/>
      <w:outlineLvl w:val="2"/>
    </w:pPr>
    <w:rPr>
      <w:rFonts w:asciiTheme="majorHAnsi" w:eastAsiaTheme="majorEastAsia" w:hAnsiTheme="majorHAnsi" w:cstheme="majorBidi"/>
      <w:b/>
      <w:bCs/>
      <w:color w:val="00A9CE" w:themeColor="accent1"/>
      <w:sz w:val="32"/>
    </w:rPr>
  </w:style>
  <w:style w:type="paragraph" w:styleId="Heading4">
    <w:name w:val="heading 4"/>
    <w:basedOn w:val="Normal"/>
    <w:next w:val="Normal"/>
    <w:link w:val="Heading4Char"/>
    <w:uiPriority w:val="9"/>
    <w:unhideWhenUsed/>
    <w:qFormat/>
    <w:rsid w:val="00D86959"/>
    <w:pPr>
      <w:keepNext/>
      <w:keepLines/>
      <w:spacing w:after="60"/>
      <w:outlineLvl w:val="3"/>
    </w:pPr>
    <w:rPr>
      <w:rFonts w:asciiTheme="majorHAnsi" w:eastAsiaTheme="majorEastAsia" w:hAnsiTheme="majorHAnsi" w:cstheme="majorBidi"/>
      <w:bCs/>
      <w:iCs/>
      <w:color w:val="00A9CE" w:themeColor="accent1"/>
      <w:sz w:val="28"/>
    </w:rPr>
  </w:style>
  <w:style w:type="paragraph" w:styleId="Heading5">
    <w:name w:val="heading 5"/>
    <w:basedOn w:val="Normal"/>
    <w:next w:val="Normal"/>
    <w:link w:val="Heading5Char"/>
    <w:uiPriority w:val="9"/>
    <w:unhideWhenUsed/>
    <w:qFormat/>
    <w:rsid w:val="00D86959"/>
    <w:pPr>
      <w:keepNext/>
      <w:keepLines/>
      <w:spacing w:after="60"/>
      <w:outlineLvl w:val="4"/>
    </w:pPr>
    <w:rPr>
      <w:rFonts w:asciiTheme="majorHAnsi" w:eastAsiaTheme="majorEastAsia" w:hAnsiTheme="majorHAnsi" w:cstheme="majorBidi"/>
      <w:color w:val="00A9CE"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959"/>
    <w:pPr>
      <w:tabs>
        <w:tab w:val="center" w:pos="4513"/>
        <w:tab w:val="right" w:pos="9026"/>
      </w:tabs>
      <w:spacing w:after="0"/>
    </w:pPr>
  </w:style>
  <w:style w:type="character" w:customStyle="1" w:styleId="HeaderChar">
    <w:name w:val="Header Char"/>
    <w:basedOn w:val="DefaultParagraphFont"/>
    <w:link w:val="Header"/>
    <w:uiPriority w:val="99"/>
    <w:rsid w:val="00D86959"/>
  </w:style>
  <w:style w:type="paragraph" w:styleId="Footer">
    <w:name w:val="footer"/>
    <w:basedOn w:val="Normal"/>
    <w:link w:val="FooterChar"/>
    <w:uiPriority w:val="99"/>
    <w:unhideWhenUsed/>
    <w:rsid w:val="00D86959"/>
    <w:pPr>
      <w:tabs>
        <w:tab w:val="center" w:pos="4513"/>
        <w:tab w:val="right" w:pos="9026"/>
      </w:tabs>
      <w:spacing w:after="0"/>
    </w:pPr>
  </w:style>
  <w:style w:type="character" w:customStyle="1" w:styleId="FooterChar">
    <w:name w:val="Footer Char"/>
    <w:basedOn w:val="DefaultParagraphFont"/>
    <w:link w:val="Footer"/>
    <w:uiPriority w:val="99"/>
    <w:rsid w:val="00D86959"/>
  </w:style>
  <w:style w:type="paragraph" w:styleId="BalloonText">
    <w:name w:val="Balloon Text"/>
    <w:basedOn w:val="Normal"/>
    <w:link w:val="BalloonTextChar"/>
    <w:uiPriority w:val="99"/>
    <w:semiHidden/>
    <w:unhideWhenUsed/>
    <w:rsid w:val="00D869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959"/>
    <w:rPr>
      <w:rFonts w:ascii="Tahoma" w:hAnsi="Tahoma" w:cs="Tahoma"/>
      <w:sz w:val="16"/>
      <w:szCs w:val="16"/>
    </w:rPr>
  </w:style>
  <w:style w:type="character" w:customStyle="1" w:styleId="Heading1Char">
    <w:name w:val="Heading 1 Char"/>
    <w:basedOn w:val="DefaultParagraphFont"/>
    <w:link w:val="Heading1"/>
    <w:uiPriority w:val="9"/>
    <w:rsid w:val="00D86959"/>
    <w:rPr>
      <w:rFonts w:asciiTheme="majorHAnsi" w:eastAsiaTheme="majorEastAsia" w:hAnsiTheme="majorHAnsi" w:cstheme="majorBidi"/>
      <w:b/>
      <w:bCs/>
      <w:color w:val="00A9CE" w:themeColor="accent1"/>
      <w:sz w:val="60"/>
      <w:szCs w:val="28"/>
    </w:rPr>
  </w:style>
  <w:style w:type="character" w:customStyle="1" w:styleId="Heading2Char">
    <w:name w:val="Heading 2 Char"/>
    <w:basedOn w:val="DefaultParagraphFont"/>
    <w:link w:val="Heading2"/>
    <w:uiPriority w:val="9"/>
    <w:rsid w:val="00D86959"/>
    <w:rPr>
      <w:rFonts w:asciiTheme="majorHAnsi" w:eastAsiaTheme="majorEastAsia" w:hAnsiTheme="majorHAnsi" w:cstheme="majorBidi"/>
      <w:b/>
      <w:bCs/>
      <w:color w:val="00A9CE" w:themeColor="accent1"/>
      <w:sz w:val="44"/>
      <w:szCs w:val="26"/>
    </w:rPr>
  </w:style>
  <w:style w:type="paragraph" w:customStyle="1" w:styleId="Default">
    <w:name w:val="Default"/>
    <w:rsid w:val="00D86959"/>
    <w:pPr>
      <w:autoSpaceDE w:val="0"/>
      <w:autoSpaceDN w:val="0"/>
      <w:adjustRightInd w:val="0"/>
      <w:spacing w:after="0" w:line="240" w:lineRule="auto"/>
    </w:pPr>
    <w:rPr>
      <w:rFonts w:ascii="Calibri" w:hAnsi="Calibri" w:cs="Calibri"/>
      <w:color w:val="000000"/>
      <w:sz w:val="24"/>
      <w:szCs w:val="24"/>
    </w:rPr>
  </w:style>
  <w:style w:type="paragraph" w:customStyle="1" w:styleId="Pa4">
    <w:name w:val="Pa4"/>
    <w:basedOn w:val="Default"/>
    <w:next w:val="Default"/>
    <w:uiPriority w:val="99"/>
    <w:rsid w:val="00D86959"/>
    <w:pPr>
      <w:spacing w:line="201" w:lineRule="atLeast"/>
    </w:pPr>
    <w:rPr>
      <w:rFonts w:cstheme="minorBidi"/>
      <w:color w:val="auto"/>
    </w:rPr>
  </w:style>
  <w:style w:type="character" w:customStyle="1" w:styleId="Heading3Char">
    <w:name w:val="Heading 3 Char"/>
    <w:basedOn w:val="DefaultParagraphFont"/>
    <w:link w:val="Heading3"/>
    <w:uiPriority w:val="9"/>
    <w:rsid w:val="00D86959"/>
    <w:rPr>
      <w:rFonts w:asciiTheme="majorHAnsi" w:eastAsiaTheme="majorEastAsia" w:hAnsiTheme="majorHAnsi" w:cstheme="majorBidi"/>
      <w:b/>
      <w:bCs/>
      <w:color w:val="00A9CE" w:themeColor="accent1"/>
      <w:sz w:val="32"/>
    </w:rPr>
  </w:style>
  <w:style w:type="paragraph" w:customStyle="1" w:styleId="Italic">
    <w:name w:val="Italic"/>
    <w:basedOn w:val="Normal"/>
    <w:qFormat/>
    <w:rsid w:val="00D64D7F"/>
    <w:pPr>
      <w:spacing w:before="100"/>
    </w:pPr>
    <w:rPr>
      <w:rFonts w:ascii="Georgia" w:hAnsi="Georgia"/>
      <w:i/>
      <w:color w:val="00A9CE" w:themeColor="accent1"/>
    </w:rPr>
  </w:style>
  <w:style w:type="character" w:customStyle="1" w:styleId="Heading4Char">
    <w:name w:val="Heading 4 Char"/>
    <w:basedOn w:val="DefaultParagraphFont"/>
    <w:link w:val="Heading4"/>
    <w:uiPriority w:val="9"/>
    <w:rsid w:val="00D86959"/>
    <w:rPr>
      <w:rFonts w:asciiTheme="majorHAnsi" w:eastAsiaTheme="majorEastAsia" w:hAnsiTheme="majorHAnsi" w:cstheme="majorBidi"/>
      <w:bCs/>
      <w:iCs/>
      <w:color w:val="00A9CE" w:themeColor="accent1"/>
      <w:sz w:val="28"/>
    </w:rPr>
  </w:style>
  <w:style w:type="character" w:customStyle="1" w:styleId="Heading5Char">
    <w:name w:val="Heading 5 Char"/>
    <w:basedOn w:val="DefaultParagraphFont"/>
    <w:link w:val="Heading5"/>
    <w:uiPriority w:val="9"/>
    <w:rsid w:val="00D86959"/>
    <w:rPr>
      <w:rFonts w:asciiTheme="majorHAnsi" w:eastAsiaTheme="majorEastAsia" w:hAnsiTheme="majorHAnsi" w:cstheme="majorBidi"/>
      <w:color w:val="00A9CE" w:themeColor="accent1"/>
      <w:sz w:val="24"/>
    </w:rPr>
  </w:style>
  <w:style w:type="paragraph" w:styleId="EndnoteText">
    <w:name w:val="endnote text"/>
    <w:basedOn w:val="Normal"/>
    <w:link w:val="EndnoteTextChar"/>
    <w:uiPriority w:val="99"/>
    <w:semiHidden/>
    <w:unhideWhenUsed/>
    <w:rsid w:val="00F35DB0"/>
    <w:pPr>
      <w:spacing w:after="0"/>
    </w:pPr>
    <w:rPr>
      <w:szCs w:val="20"/>
    </w:rPr>
  </w:style>
  <w:style w:type="character" w:customStyle="1" w:styleId="EndnoteTextChar">
    <w:name w:val="Endnote Text Char"/>
    <w:basedOn w:val="DefaultParagraphFont"/>
    <w:link w:val="EndnoteText"/>
    <w:uiPriority w:val="99"/>
    <w:semiHidden/>
    <w:rsid w:val="00F35DB0"/>
    <w:rPr>
      <w:sz w:val="20"/>
      <w:szCs w:val="20"/>
    </w:rPr>
  </w:style>
  <w:style w:type="character" w:styleId="EndnoteReference">
    <w:name w:val="endnote reference"/>
    <w:basedOn w:val="DefaultParagraphFont"/>
    <w:uiPriority w:val="99"/>
    <w:semiHidden/>
    <w:unhideWhenUsed/>
    <w:rsid w:val="00F35DB0"/>
    <w:rPr>
      <w:vertAlign w:val="superscript"/>
    </w:rPr>
  </w:style>
  <w:style w:type="paragraph" w:customStyle="1" w:styleId="Footnote">
    <w:name w:val="Foot note"/>
    <w:basedOn w:val="Default"/>
    <w:qFormat/>
    <w:rsid w:val="00F35DB0"/>
    <w:rPr>
      <w:rFonts w:asciiTheme="minorHAnsi" w:hAnsiTheme="minorHAnsi" w:cs="Myriad Pro"/>
      <w:color w:val="58595B" w:themeColor="accent2"/>
      <w:sz w:val="16"/>
      <w:szCs w:val="16"/>
    </w:rPr>
  </w:style>
  <w:style w:type="paragraph" w:styleId="FootnoteText">
    <w:name w:val="footnote text"/>
    <w:basedOn w:val="Normal"/>
    <w:link w:val="FootnoteTextChar"/>
    <w:uiPriority w:val="99"/>
    <w:semiHidden/>
    <w:unhideWhenUsed/>
    <w:rsid w:val="00B404B1"/>
    <w:pPr>
      <w:spacing w:after="0"/>
    </w:pPr>
    <w:rPr>
      <w:szCs w:val="20"/>
    </w:rPr>
  </w:style>
  <w:style w:type="character" w:customStyle="1" w:styleId="FootnoteTextChar">
    <w:name w:val="Footnote Text Char"/>
    <w:basedOn w:val="DefaultParagraphFont"/>
    <w:link w:val="FootnoteText"/>
    <w:uiPriority w:val="99"/>
    <w:semiHidden/>
    <w:rsid w:val="00B404B1"/>
    <w:rPr>
      <w:color w:val="58595B" w:themeColor="accent2"/>
      <w:sz w:val="20"/>
      <w:szCs w:val="20"/>
    </w:rPr>
  </w:style>
  <w:style w:type="character" w:styleId="FootnoteReference">
    <w:name w:val="footnote reference"/>
    <w:basedOn w:val="DefaultParagraphFont"/>
    <w:uiPriority w:val="99"/>
    <w:semiHidden/>
    <w:unhideWhenUsed/>
    <w:rsid w:val="00B404B1"/>
    <w:rPr>
      <w:vertAlign w:val="superscript"/>
    </w:rPr>
  </w:style>
  <w:style w:type="character" w:styleId="PlaceholderText">
    <w:name w:val="Placeholder Text"/>
    <w:basedOn w:val="DefaultParagraphFont"/>
    <w:uiPriority w:val="99"/>
    <w:semiHidden/>
    <w:rsid w:val="00190819"/>
    <w:rPr>
      <w:color w:val="808080"/>
    </w:rPr>
  </w:style>
  <w:style w:type="character" w:styleId="Hyperlink">
    <w:name w:val="Hyperlink"/>
    <w:basedOn w:val="DefaultParagraphFont"/>
    <w:uiPriority w:val="99"/>
    <w:unhideWhenUsed/>
    <w:rsid w:val="00DB345D"/>
    <w:rPr>
      <w:color w:val="00A9CE" w:themeColor="hyperlink"/>
      <w:u w:val="single"/>
    </w:rPr>
  </w:style>
  <w:style w:type="character" w:styleId="UnresolvedMention">
    <w:name w:val="Unresolved Mention"/>
    <w:basedOn w:val="DefaultParagraphFont"/>
    <w:uiPriority w:val="99"/>
    <w:rsid w:val="00DB345D"/>
    <w:rPr>
      <w:color w:val="605E5C"/>
      <w:shd w:val="clear" w:color="auto" w:fill="E1DFDD"/>
    </w:rPr>
  </w:style>
  <w:style w:type="character" w:styleId="FollowedHyperlink">
    <w:name w:val="FollowedHyperlink"/>
    <w:basedOn w:val="DefaultParagraphFont"/>
    <w:uiPriority w:val="99"/>
    <w:semiHidden/>
    <w:unhideWhenUsed/>
    <w:rsid w:val="00DB345D"/>
    <w:rPr>
      <w:color w:val="006C91" w:themeColor="followedHyperlink"/>
      <w:u w:val="single"/>
    </w:rPr>
  </w:style>
  <w:style w:type="paragraph" w:styleId="ListParagraph">
    <w:name w:val="List Paragraph"/>
    <w:basedOn w:val="Normal"/>
    <w:uiPriority w:val="34"/>
    <w:qFormat/>
    <w:rsid w:val="00E67D03"/>
    <w:pPr>
      <w:ind w:left="720"/>
      <w:contextualSpacing/>
    </w:pPr>
  </w:style>
  <w:style w:type="table" w:styleId="TableGrid">
    <w:name w:val="Table Grid"/>
    <w:basedOn w:val="TableNormal"/>
    <w:uiPriority w:val="59"/>
    <w:rsid w:val="00E67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325"/>
    <w:rPr>
      <w:sz w:val="16"/>
      <w:szCs w:val="16"/>
    </w:rPr>
  </w:style>
  <w:style w:type="paragraph" w:styleId="CommentText">
    <w:name w:val="annotation text"/>
    <w:basedOn w:val="Normal"/>
    <w:link w:val="CommentTextChar"/>
    <w:uiPriority w:val="99"/>
    <w:semiHidden/>
    <w:unhideWhenUsed/>
    <w:rsid w:val="00105325"/>
    <w:rPr>
      <w:sz w:val="20"/>
      <w:szCs w:val="20"/>
    </w:rPr>
  </w:style>
  <w:style w:type="character" w:customStyle="1" w:styleId="CommentTextChar">
    <w:name w:val="Comment Text Char"/>
    <w:basedOn w:val="DefaultParagraphFont"/>
    <w:link w:val="CommentText"/>
    <w:uiPriority w:val="99"/>
    <w:semiHidden/>
    <w:rsid w:val="00105325"/>
    <w:rPr>
      <w:color w:val="58595B" w:themeColor="accent2"/>
      <w:sz w:val="20"/>
      <w:szCs w:val="20"/>
    </w:rPr>
  </w:style>
  <w:style w:type="paragraph" w:styleId="CommentSubject">
    <w:name w:val="annotation subject"/>
    <w:basedOn w:val="CommentText"/>
    <w:next w:val="CommentText"/>
    <w:link w:val="CommentSubjectChar"/>
    <w:uiPriority w:val="99"/>
    <w:semiHidden/>
    <w:unhideWhenUsed/>
    <w:rsid w:val="00105325"/>
    <w:rPr>
      <w:b/>
      <w:bCs/>
    </w:rPr>
  </w:style>
  <w:style w:type="character" w:customStyle="1" w:styleId="CommentSubjectChar">
    <w:name w:val="Comment Subject Char"/>
    <w:basedOn w:val="CommentTextChar"/>
    <w:link w:val="CommentSubject"/>
    <w:uiPriority w:val="99"/>
    <w:semiHidden/>
    <w:rsid w:val="00105325"/>
    <w:rPr>
      <w:b/>
      <w:bCs/>
      <w:color w:val="58595B" w:themeColor="accen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ivacy@canberra.edu.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anberra.edu.au/about-uc/policy-and-legislation/privacy%22%20%5Ct%20%22_blank%22%20%5Co%20%22opens%20in%20a%20new%20window"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g.gov.au/publications/pages/statutorydeclarations.aspx" TargetMode="External"/><Relationship Id="rId5" Type="http://schemas.openxmlformats.org/officeDocument/2006/relationships/numbering" Target="numbering.xml"/><Relationship Id="rId15" Type="http://schemas.openxmlformats.org/officeDocument/2006/relationships/hyperlink" Target="http://www.canberra.edu.au/current-students/canberra-students/student-support/inclusion-engagemen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berra.edu.au/Policies/PolicyProcedure/Index/54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C-Rebrand">
      <a:dk1>
        <a:sysClr val="windowText" lastClr="000000"/>
      </a:dk1>
      <a:lt1>
        <a:sysClr val="window" lastClr="FFFFFF"/>
      </a:lt1>
      <a:dk2>
        <a:srgbClr val="414D61"/>
      </a:dk2>
      <a:lt2>
        <a:srgbClr val="FFFFFF"/>
      </a:lt2>
      <a:accent1>
        <a:srgbClr val="00A9CE"/>
      </a:accent1>
      <a:accent2>
        <a:srgbClr val="58595B"/>
      </a:accent2>
      <a:accent3>
        <a:srgbClr val="92D6E3"/>
      </a:accent3>
      <a:accent4>
        <a:srgbClr val="006C91"/>
      </a:accent4>
      <a:accent5>
        <a:srgbClr val="414D61"/>
      </a:accent5>
      <a:accent6>
        <a:srgbClr val="00A79D"/>
      </a:accent6>
      <a:hlink>
        <a:srgbClr val="00A9CE"/>
      </a:hlink>
      <a:folHlink>
        <a:srgbClr val="006C91"/>
      </a:folHlink>
    </a:clrScheme>
    <a:fontScheme name="UC-Rebrand">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556BFD66429A45B3424651985B14C9" ma:contentTypeVersion="6" ma:contentTypeDescription="Create a new document." ma:contentTypeScope="" ma:versionID="e6dd929d6eacb294e01a8b798ee196de">
  <xsd:schema xmlns:xsd="http://www.w3.org/2001/XMLSchema" xmlns:xs="http://www.w3.org/2001/XMLSchema" xmlns:p="http://schemas.microsoft.com/office/2006/metadata/properties" xmlns:ns2="e924472b-16df-4a73-9439-ca1804f2743d" xmlns:ns3="765b6ab0-9225-4a52-a7cb-8db090eab665" targetNamespace="http://schemas.microsoft.com/office/2006/metadata/properties" ma:root="true" ma:fieldsID="44d9f78c44fa48329e46fcfe0557c2b0" ns2:_="" ns3:_="">
    <xsd:import namespace="e924472b-16df-4a73-9439-ca1804f2743d"/>
    <xsd:import namespace="765b6ab0-9225-4a52-a7cb-8db090eab66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24472b-16df-4a73-9439-ca1804f274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5b6ab0-9225-4a52-a7cb-8db090eab66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20DA5-E71B-4C22-87BF-EFF9C8378E40}">
  <ds:schemaRefs>
    <ds:schemaRef ds:uri="http://schemas.microsoft.com/sharepoint/v3/contenttype/forms"/>
  </ds:schemaRefs>
</ds:datastoreItem>
</file>

<file path=customXml/itemProps2.xml><?xml version="1.0" encoding="utf-8"?>
<ds:datastoreItem xmlns:ds="http://schemas.openxmlformats.org/officeDocument/2006/customXml" ds:itemID="{D489118C-E523-4176-B2BD-083BB50DB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24472b-16df-4a73-9439-ca1804f2743d"/>
    <ds:schemaRef ds:uri="765b6ab0-9225-4a52-a7cb-8db090eab6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F96F05-7C23-4D49-9FB6-B584DCE64A0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3D5740-3236-43E3-990D-8D2F38B0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1575</Words>
  <Characters>8983</Characters>
  <Application>Microsoft Office Word</Application>
  <DocSecurity>4</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Canberra</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Jenny.Millea</cp:lastModifiedBy>
  <cp:revision>2</cp:revision>
  <dcterms:created xsi:type="dcterms:W3CDTF">2021-01-27T22:37:00Z</dcterms:created>
  <dcterms:modified xsi:type="dcterms:W3CDTF">2021-01-27T22:37:00Z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0x01010055556BFD66429A45B3424651985B14C9</vt:lpwstr>
  </property>
  <property fmtid="{D5CDD505-2E9C-101B-9397-08002B2CF9AE}" pid="3" name="Order">
    <vt:r8>86900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