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eastAsia="宋体"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w:t>
      </w:r>
      <w:r>
        <w:rPr>
          <w:rFonts w:asciiTheme="minorEastAsia" w:hAnsiTheme="minorEastAsia" w:eastAsiaTheme="minorEastAsia"/>
          <w:b/>
          <w:bCs/>
          <w:sz w:val="48"/>
          <w:szCs w:val="48"/>
        </w:rPr>
        <w:t>信息安全</w:t>
      </w:r>
      <w:r>
        <w:rPr>
          <w:rFonts w:hint="eastAsia" w:asciiTheme="minorEastAsia" w:hAnsiTheme="minorEastAsia" w:eastAsiaTheme="minorEastAsia"/>
          <w:b/>
          <w:bCs/>
          <w:sz w:val="48"/>
          <w:szCs w:val="48"/>
        </w:rPr>
        <w:t>工作管理制度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-1-02</w:t>
      </w:r>
    </w:p>
    <w:p>
      <w:pPr>
        <w:ind w:left="1978" w:leftChars="942"/>
        <w:rPr>
          <w:rFonts w:asciiTheme="minorEastAsia" w:hAnsiTheme="minorEastAsia" w:eastAsiaTheme="minorEastAsia"/>
          <w:b/>
          <w:bCs/>
          <w:sz w:val="32"/>
          <w:szCs w:val="32"/>
        </w:rPr>
      </w:pPr>
      <w:bookmarkStart w:id="2" w:name="_Toc186526453"/>
      <w:bookmarkStart w:id="3" w:name="_Toc186516936"/>
      <w:r>
        <w:rPr>
          <w:rFonts w:asciiTheme="minorEastAsia" w:hAnsiTheme="minorEastAsia" w:eastAsiaTheme="minorEastAsia"/>
          <w:b/>
          <w:bCs/>
          <w:sz w:val="32"/>
          <w:szCs w:val="32"/>
        </w:rPr>
        <w:t>版    本：</w:t>
      </w:r>
      <w:bookmarkEnd w:id="2"/>
      <w:bookmarkEnd w:id="3"/>
      <w:bookmarkStart w:id="4" w:name="_Toc186526454"/>
      <w:bookmarkStart w:id="5" w:name="_Toc186516937"/>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9"/>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信息安全工作管理制度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1</w:t>
            </w:r>
            <w:r>
              <w:rPr>
                <w:rFonts w:hint="eastAsia" w:asciiTheme="minorEastAsia" w:hAnsiTheme="minorEastAsia" w:eastAsiaTheme="minorEastAsia"/>
                <w:szCs w:val="21"/>
              </w:rPr>
              <w:t>-</w:t>
            </w:r>
            <w:r>
              <w:rPr>
                <w:rFonts w:asciiTheme="minorEastAsia" w:hAnsiTheme="minorEastAsia" w:eastAsiaTheme="minorEastAsia"/>
                <w:szCs w:val="21"/>
              </w:rPr>
              <w:t>02</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制度管控员工</w:t>
            </w:r>
            <w:bookmarkStart w:id="21" w:name="_GoBack"/>
            <w:bookmarkEnd w:id="21"/>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上半年工作日</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pStyle w:val="2"/>
        <w:rPr>
          <w:rFonts w:ascii="宋体" w:eastAsia="宋体"/>
        </w:rPr>
      </w:pPr>
      <w:bookmarkStart w:id="6" w:name="_Toc368691865"/>
      <w:r>
        <w:rPr>
          <w:rFonts w:ascii="宋体" w:eastAsia="宋体"/>
        </w:rPr>
        <w:t>目的</w:t>
      </w:r>
      <w:bookmarkEnd w:id="6"/>
    </w:p>
    <w:p>
      <w:pPr>
        <w:spacing w:line="360" w:lineRule="auto"/>
        <w:ind w:firstLine="480" w:firstLineChars="200"/>
        <w:rPr>
          <w:rFonts w:ascii="宋体" w:hAnsi="宋体"/>
          <w:sz w:val="24"/>
        </w:rPr>
      </w:pPr>
      <w:r>
        <w:rPr>
          <w:rFonts w:hint="eastAsia" w:ascii="宋体" w:hAnsi="宋体"/>
          <w:bCs/>
          <w:sz w:val="24"/>
          <w:lang w:eastAsia="zh-CN"/>
        </w:rPr>
        <w:t>北京汇聚融达网络科技</w:t>
      </w:r>
      <w:r>
        <w:rPr>
          <w:rFonts w:hint="eastAsia" w:ascii="宋体" w:hAnsi="宋体"/>
          <w:bCs/>
          <w:sz w:val="24"/>
        </w:rPr>
        <w:t>有限责任公司</w:t>
      </w:r>
      <w:r>
        <w:rPr>
          <w:rFonts w:hint="eastAsia" w:ascii="宋体" w:hAnsi="宋体"/>
          <w:sz w:val="24"/>
        </w:rPr>
        <w:t>（以下简称：公司）</w:t>
      </w:r>
      <w:r>
        <w:rPr>
          <w:rFonts w:ascii="宋体" w:hAnsi="宋体"/>
          <w:sz w:val="24"/>
        </w:rPr>
        <w:t>信息安全方针的具体要求，作为信息安全工作和具体标准、程序、指引和制度等实施的指导方针和最重要的依据。</w:t>
      </w:r>
    </w:p>
    <w:p>
      <w:pPr>
        <w:spacing w:line="360" w:lineRule="auto"/>
        <w:ind w:firstLine="480" w:firstLineChars="200"/>
        <w:rPr>
          <w:rFonts w:ascii="宋体" w:hAnsi="宋体"/>
          <w:sz w:val="24"/>
        </w:rPr>
      </w:pPr>
      <w:r>
        <w:rPr>
          <w:rFonts w:ascii="宋体" w:hAnsi="宋体"/>
          <w:sz w:val="24"/>
        </w:rPr>
        <w:t>指导信息安全工作符合国际、国内的有关安全标准及我国相关法律和法规。</w:t>
      </w:r>
    </w:p>
    <w:p>
      <w:pPr>
        <w:spacing w:line="360" w:lineRule="auto"/>
        <w:ind w:firstLine="480" w:firstLineChars="200"/>
        <w:rPr>
          <w:rFonts w:ascii="宋体" w:hAnsi="宋体"/>
          <w:sz w:val="24"/>
        </w:rPr>
      </w:pPr>
      <w:r>
        <w:rPr>
          <w:rFonts w:ascii="宋体" w:hAnsi="宋体"/>
          <w:sz w:val="24"/>
        </w:rPr>
        <w:t>形成一个安全机制，有效地保障各项安全责任的落实；并且根据实际情况的变化，能够及时地、适宜地保障信息安全管理体系的维护和完善。</w:t>
      </w:r>
    </w:p>
    <w:p>
      <w:pPr>
        <w:spacing w:line="360" w:lineRule="auto"/>
        <w:ind w:firstLine="480" w:firstLineChars="200"/>
        <w:rPr>
          <w:rFonts w:ascii="宋体" w:hAnsi="宋体"/>
          <w:sz w:val="24"/>
        </w:rPr>
      </w:pPr>
      <w:r>
        <w:rPr>
          <w:rFonts w:ascii="宋体" w:hAnsi="宋体"/>
          <w:sz w:val="24"/>
        </w:rPr>
        <w:t>保护信息和信息系统的安全，使其保密性、完整性和可用性得到有效保障。</w:t>
      </w:r>
    </w:p>
    <w:p>
      <w:pPr>
        <w:pStyle w:val="2"/>
        <w:rPr>
          <w:rFonts w:ascii="宋体" w:eastAsia="宋体"/>
        </w:rPr>
      </w:pPr>
      <w:bookmarkStart w:id="7" w:name="_Toc368691866"/>
      <w:r>
        <w:rPr>
          <w:rFonts w:ascii="宋体" w:eastAsia="宋体"/>
        </w:rPr>
        <w:t>适用范围</w:t>
      </w:r>
      <w:bookmarkEnd w:id="7"/>
    </w:p>
    <w:p>
      <w:pPr>
        <w:spacing w:line="360" w:lineRule="auto"/>
        <w:ind w:firstLine="480" w:firstLineChars="200"/>
        <w:rPr>
          <w:rFonts w:ascii="宋体" w:hAnsi="宋体"/>
          <w:sz w:val="24"/>
        </w:rPr>
      </w:pPr>
      <w:r>
        <w:rPr>
          <w:rFonts w:ascii="宋体" w:hAnsi="宋体"/>
          <w:sz w:val="24"/>
        </w:rPr>
        <w:t>公司所有业务活动、信息和信息系统，公司所有部门和全体员工以及第三方人员。</w:t>
      </w:r>
    </w:p>
    <w:p>
      <w:pPr>
        <w:pStyle w:val="2"/>
        <w:rPr>
          <w:rFonts w:ascii="宋体" w:eastAsia="宋体"/>
        </w:rPr>
      </w:pPr>
      <w:bookmarkStart w:id="8" w:name="_Toc368691867"/>
      <w:r>
        <w:rPr>
          <w:rFonts w:ascii="宋体" w:eastAsia="宋体"/>
        </w:rPr>
        <w:t>职责</w:t>
      </w:r>
      <w:bookmarkEnd w:id="8"/>
    </w:p>
    <w:p>
      <w:pPr>
        <w:spacing w:line="360" w:lineRule="auto"/>
        <w:ind w:firstLine="480" w:firstLineChars="200"/>
        <w:rPr>
          <w:rFonts w:ascii="宋体" w:hAnsi="宋体"/>
          <w:sz w:val="24"/>
        </w:rPr>
      </w:pPr>
      <w:r>
        <w:rPr>
          <w:rFonts w:ascii="宋体" w:hAnsi="宋体"/>
          <w:sz w:val="24"/>
        </w:rPr>
        <w:t>信息安全领导小组负责对本程序的执行和管理。</w:t>
      </w:r>
    </w:p>
    <w:p>
      <w:pPr>
        <w:pStyle w:val="2"/>
        <w:rPr>
          <w:rFonts w:ascii="宋体" w:eastAsia="宋体"/>
        </w:rPr>
      </w:pPr>
      <w:bookmarkStart w:id="9" w:name="_Toc368691868"/>
      <w:r>
        <w:rPr>
          <w:rFonts w:ascii="宋体" w:eastAsia="宋体"/>
        </w:rPr>
        <w:t>安全策略内容</w:t>
      </w:r>
      <w:bookmarkEnd w:id="9"/>
    </w:p>
    <w:p>
      <w:pPr>
        <w:pStyle w:val="3"/>
        <w:rPr>
          <w:rFonts w:ascii="宋体" w:hAnsi="宋体" w:eastAsia="宋体"/>
        </w:rPr>
      </w:pPr>
      <w:bookmarkStart w:id="10" w:name="_Toc368691869"/>
      <w:r>
        <w:rPr>
          <w:rFonts w:ascii="宋体" w:hAnsi="宋体" w:eastAsia="宋体"/>
        </w:rPr>
        <w:t>安全组织内容</w:t>
      </w:r>
      <w:bookmarkEnd w:id="10"/>
    </w:p>
    <w:p>
      <w:pPr>
        <w:numPr>
          <w:ilvl w:val="0"/>
          <w:numId w:val="2"/>
        </w:numPr>
        <w:spacing w:line="360" w:lineRule="auto"/>
        <w:rPr>
          <w:rFonts w:ascii="宋体" w:hAnsi="宋体"/>
          <w:sz w:val="24"/>
        </w:rPr>
      </w:pPr>
      <w:r>
        <w:rPr>
          <w:rFonts w:ascii="宋体" w:hAnsi="宋体"/>
          <w:sz w:val="24"/>
        </w:rPr>
        <w:t>信息安全领导小组负责协调信息安全建设所需的人员、资金、设备、场地等资源，制定人员安全技能和安全意识培训的安全需求，对公司的信息安全建设工作提供方向性和原则性的指导、建议。</w:t>
      </w:r>
    </w:p>
    <w:p>
      <w:pPr>
        <w:numPr>
          <w:ilvl w:val="0"/>
          <w:numId w:val="2"/>
        </w:numPr>
        <w:spacing w:line="360" w:lineRule="auto"/>
        <w:rPr>
          <w:rFonts w:ascii="宋体" w:hAnsi="宋体"/>
          <w:sz w:val="24"/>
        </w:rPr>
      </w:pPr>
      <w:r>
        <w:rPr>
          <w:rFonts w:ascii="宋体" w:hAnsi="宋体"/>
          <w:sz w:val="24"/>
        </w:rPr>
        <w:t>信息安全领导小组的成员来自公司不同的部门，这些成员要保证安全活动的实施与安全策略一致，核准信息安全相关的方法和过程（如风险评估、信息分类等），评估安全控制措施实施的充分性和协调性，促进信息安全教育、培训和人员安全意识的提高，有效、合理协调公司信息安全建设的工作。</w:t>
      </w:r>
    </w:p>
    <w:p>
      <w:pPr>
        <w:numPr>
          <w:ilvl w:val="0"/>
          <w:numId w:val="2"/>
        </w:numPr>
        <w:spacing w:line="360" w:lineRule="auto"/>
        <w:rPr>
          <w:rFonts w:ascii="宋体" w:hAnsi="宋体"/>
          <w:sz w:val="24"/>
        </w:rPr>
      </w:pPr>
      <w:r>
        <w:rPr>
          <w:rFonts w:ascii="宋体" w:hAnsi="宋体"/>
          <w:sz w:val="24"/>
        </w:rPr>
        <w:t>信息安全领导小组的成员要明确并履行各自的安全职责，安全职责包括资产保护的责任、执行特定安全过程的责任以及授权级别，保证公司的安全责任能有效落实。</w:t>
      </w:r>
    </w:p>
    <w:p>
      <w:pPr>
        <w:numPr>
          <w:ilvl w:val="0"/>
          <w:numId w:val="2"/>
        </w:numPr>
        <w:spacing w:line="360" w:lineRule="auto"/>
        <w:rPr>
          <w:rFonts w:ascii="宋体" w:hAnsi="宋体"/>
          <w:sz w:val="24"/>
        </w:rPr>
      </w:pPr>
      <w:r>
        <w:rPr>
          <w:rFonts w:ascii="宋体" w:hAnsi="宋体"/>
          <w:sz w:val="24"/>
        </w:rPr>
        <w:t>保持与外部安全组织的适当联系（如国家计算机网络应急技术处理协调中心-CNCERT/CC、国家计算机病毒应急处理中心、</w:t>
      </w:r>
      <w:r>
        <w:rPr>
          <w:rFonts w:hint="eastAsia" w:ascii="宋体" w:hAnsi="宋体"/>
          <w:sz w:val="24"/>
        </w:rPr>
        <w:t>公安机关网安部门、集团公司</w:t>
      </w:r>
      <w:r>
        <w:rPr>
          <w:rFonts w:ascii="宋体" w:hAnsi="宋体"/>
          <w:sz w:val="24"/>
        </w:rPr>
        <w:t>信息安全应急处理领导小组、第三方信息安全咨询公司等），了解信息安全的最新知识和政策，获取关于新技术、产品、威胁或脆弱性的信息，尽早接受到关于攻击和脆弱性的警告、建议和补丁，保证公司的安全问题能得到专家的有效指导和建议。</w:t>
      </w:r>
    </w:p>
    <w:p>
      <w:pPr>
        <w:numPr>
          <w:ilvl w:val="0"/>
          <w:numId w:val="2"/>
        </w:numPr>
        <w:spacing w:line="360" w:lineRule="auto"/>
        <w:rPr>
          <w:rFonts w:ascii="宋体" w:hAnsi="宋体"/>
          <w:sz w:val="24"/>
        </w:rPr>
      </w:pPr>
      <w:r>
        <w:rPr>
          <w:rFonts w:ascii="宋体" w:hAnsi="宋体"/>
          <w:sz w:val="24"/>
        </w:rPr>
        <w:t>定期（或出现重大安全变化时）对公司的信息安全方法和实施进行评审，确保管理信息安全方法的持续适宜性、充分性和有效性。评审的对象包括控制目标、控制措施、安全策略、程序文件和作业指导书。评审由信息安全领导小组来启动，评审的结果要记录成文件，并报告给</w:t>
      </w:r>
      <w:r>
        <w:rPr>
          <w:rFonts w:hint="eastAsia" w:ascii="宋体" w:hAnsi="宋体"/>
          <w:sz w:val="24"/>
        </w:rPr>
        <w:t>信息安全工作小组</w:t>
      </w:r>
      <w:r>
        <w:rPr>
          <w:rFonts w:ascii="宋体" w:hAnsi="宋体"/>
          <w:sz w:val="24"/>
        </w:rPr>
        <w:t>。如果评审识别出信息安全方法和实施不符合当前的安全要求，信息安全领导小组必须及时考虑纠正措施。</w:t>
      </w:r>
    </w:p>
    <w:p>
      <w:pPr>
        <w:numPr>
          <w:ilvl w:val="0"/>
          <w:numId w:val="2"/>
        </w:numPr>
        <w:spacing w:line="360" w:lineRule="auto"/>
        <w:rPr>
          <w:rFonts w:ascii="宋体" w:hAnsi="宋体"/>
          <w:sz w:val="24"/>
        </w:rPr>
      </w:pPr>
      <w:r>
        <w:rPr>
          <w:rFonts w:ascii="宋体" w:hAnsi="宋体"/>
          <w:sz w:val="24"/>
        </w:rPr>
        <w:t>控制任何外部机构对公司信息处理设施的访问、对信息资产的处理以及与信息系统进行了通信，保证公司被外部各方访问、处理、管理或与外部进行通信的信息和信息处理设施的安全，确保在引入外部产品和服务的同时，不降低信息处理设施和信息资产的安全。</w:t>
      </w:r>
    </w:p>
    <w:p>
      <w:pPr>
        <w:numPr>
          <w:ilvl w:val="0"/>
          <w:numId w:val="2"/>
        </w:numPr>
        <w:spacing w:line="360" w:lineRule="auto"/>
        <w:rPr>
          <w:rFonts w:ascii="宋体" w:hAnsi="宋体"/>
          <w:sz w:val="24"/>
        </w:rPr>
      </w:pPr>
      <w:r>
        <w:rPr>
          <w:rFonts w:ascii="宋体" w:hAnsi="宋体"/>
          <w:sz w:val="24"/>
        </w:rPr>
        <w:t>识别外部机构访问公司信息和信息处理设施的风险，包括被访问的信息处理设施、访问类型、被访问信息的重要性、不被访问信息需要的控制措施、外部访问的人员等，并在允许访问前实施适当的控制措施，确保外部机构的访问不影响信息和信息处理设施的安全。</w:t>
      </w:r>
    </w:p>
    <w:p>
      <w:pPr>
        <w:numPr>
          <w:ilvl w:val="0"/>
          <w:numId w:val="2"/>
        </w:numPr>
        <w:spacing w:line="360" w:lineRule="auto"/>
        <w:rPr>
          <w:rFonts w:ascii="宋体" w:hAnsi="宋体"/>
          <w:sz w:val="24"/>
        </w:rPr>
      </w:pPr>
      <w:r>
        <w:rPr>
          <w:rFonts w:ascii="宋体" w:hAnsi="宋体"/>
          <w:sz w:val="24"/>
        </w:rPr>
        <w:t>外部机构的人员在访问公司资产前必须明确相关的安全要求，包括</w:t>
      </w:r>
      <w:r>
        <w:rPr>
          <w:rFonts w:hint="eastAsia" w:ascii="宋体" w:hAnsi="宋体"/>
          <w:sz w:val="24"/>
        </w:rPr>
        <w:t>对</w:t>
      </w:r>
      <w:r>
        <w:rPr>
          <w:rFonts w:ascii="宋体" w:hAnsi="宋体"/>
          <w:sz w:val="24"/>
        </w:rPr>
        <w:t>资产的保护要求、访问控制策略、信息安全事故和安全违规的报告、承担的责任和业务。通过签订协议来落实这些安全要求，保证外部机构人员不会对访问的资产造成破坏。</w:t>
      </w:r>
    </w:p>
    <w:p>
      <w:pPr>
        <w:numPr>
          <w:ilvl w:val="0"/>
          <w:numId w:val="2"/>
        </w:numPr>
        <w:spacing w:line="360" w:lineRule="auto"/>
        <w:rPr>
          <w:rFonts w:ascii="宋体" w:hAnsi="宋体"/>
          <w:sz w:val="24"/>
        </w:rPr>
      </w:pPr>
      <w:r>
        <w:rPr>
          <w:rFonts w:ascii="宋体" w:hAnsi="宋体"/>
          <w:sz w:val="24"/>
        </w:rPr>
        <w:t>在现有信息系统中新增产品或服务，以及对现有信息系统进行变更时，必须在相关的协议中，明确体现所有涉及的安全要求，主要包括资产保护要求、安全职责要求、访问控制要求以及变更管理要求等方面，并保证严格执行协议中规定的各项条款。</w:t>
      </w:r>
    </w:p>
    <w:p>
      <w:pPr>
        <w:pStyle w:val="3"/>
        <w:tabs>
          <w:tab w:val="left" w:pos="0"/>
          <w:tab w:val="clear" w:pos="567"/>
        </w:tabs>
        <w:ind w:left="0" w:firstLine="0"/>
        <w:rPr>
          <w:rFonts w:ascii="宋体" w:hAnsi="宋体" w:eastAsia="宋体"/>
        </w:rPr>
      </w:pPr>
      <w:bookmarkStart w:id="11" w:name="_Toc368691870"/>
      <w:r>
        <w:rPr>
          <w:rFonts w:ascii="宋体" w:hAnsi="宋体" w:eastAsia="宋体"/>
        </w:rPr>
        <w:t>资产管理策略</w:t>
      </w:r>
      <w:bookmarkEnd w:id="11"/>
    </w:p>
    <w:p>
      <w:pPr>
        <w:numPr>
          <w:ilvl w:val="0"/>
          <w:numId w:val="3"/>
        </w:numPr>
        <w:spacing w:line="360" w:lineRule="auto"/>
        <w:rPr>
          <w:rFonts w:ascii="宋体" w:hAnsi="宋体"/>
          <w:sz w:val="24"/>
        </w:rPr>
      </w:pPr>
      <w:r>
        <w:rPr>
          <w:rFonts w:ascii="宋体" w:hAnsi="宋体"/>
          <w:sz w:val="24"/>
        </w:rPr>
        <w:t>所有的资产要指定责任人，并对责任人赋予相应的职责，确保所有资产都可以核查。</w:t>
      </w:r>
    </w:p>
    <w:p>
      <w:pPr>
        <w:numPr>
          <w:ilvl w:val="0"/>
          <w:numId w:val="3"/>
        </w:numPr>
        <w:spacing w:line="360" w:lineRule="auto"/>
        <w:rPr>
          <w:rFonts w:ascii="宋体" w:hAnsi="宋体"/>
          <w:sz w:val="24"/>
        </w:rPr>
      </w:pPr>
      <w:r>
        <w:rPr>
          <w:rFonts w:ascii="宋体" w:hAnsi="宋体"/>
          <w:sz w:val="24"/>
        </w:rPr>
        <w:t>根据资产的重要性、业务价值、依赖程度，对所有资产进行分类、分级，编制资产的清单。对资产清单妥善保管，并在资产变更时及时更新清单，确保可以对资产进行有效的保护。</w:t>
      </w:r>
    </w:p>
    <w:p>
      <w:pPr>
        <w:numPr>
          <w:ilvl w:val="0"/>
          <w:numId w:val="3"/>
        </w:numPr>
        <w:spacing w:line="360" w:lineRule="auto"/>
        <w:rPr>
          <w:rFonts w:ascii="宋体" w:hAnsi="宋体"/>
          <w:sz w:val="24"/>
        </w:rPr>
      </w:pPr>
      <w:r>
        <w:rPr>
          <w:rFonts w:ascii="宋体" w:hAnsi="宋体"/>
          <w:sz w:val="24"/>
        </w:rPr>
        <w:t>指定负责所有资产的部门或责任人，责任部门或责任人对资产的安全承担责任，保证资产能得到有效保护。</w:t>
      </w:r>
    </w:p>
    <w:p>
      <w:pPr>
        <w:numPr>
          <w:ilvl w:val="0"/>
          <w:numId w:val="3"/>
        </w:numPr>
        <w:spacing w:line="360" w:lineRule="auto"/>
        <w:rPr>
          <w:rFonts w:ascii="宋体" w:hAnsi="宋体"/>
          <w:sz w:val="24"/>
        </w:rPr>
      </w:pPr>
      <w:r>
        <w:rPr>
          <w:rFonts w:ascii="宋体" w:hAnsi="宋体"/>
          <w:sz w:val="24"/>
        </w:rPr>
        <w:t>制定资产使用的规则，形成文件并加以实施。公司所有员工和外单位人员应遵守这些规则，对资产的使用负责，以保证对资产的合理使用。</w:t>
      </w:r>
    </w:p>
    <w:p>
      <w:pPr>
        <w:numPr>
          <w:ilvl w:val="0"/>
          <w:numId w:val="3"/>
        </w:numPr>
        <w:spacing w:line="360" w:lineRule="auto"/>
        <w:rPr>
          <w:rFonts w:ascii="宋体" w:hAnsi="宋体"/>
          <w:sz w:val="24"/>
        </w:rPr>
      </w:pPr>
      <w:r>
        <w:rPr>
          <w:rFonts w:ascii="宋体" w:hAnsi="宋体"/>
          <w:sz w:val="24"/>
        </w:rPr>
        <w:t>根据对公司的价值、法律要求、敏感性和关键性对公司的信息进行分类、分级保护，为每一个类别和级别指定相应的处理措施，并在处理信息时指明保护的需求、优先级和期望程度，确保信息受到适当级别的保护。</w:t>
      </w:r>
    </w:p>
    <w:p>
      <w:pPr>
        <w:pStyle w:val="3"/>
        <w:tabs>
          <w:tab w:val="left" w:pos="0"/>
          <w:tab w:val="clear" w:pos="567"/>
        </w:tabs>
        <w:ind w:left="0" w:firstLine="0"/>
        <w:rPr>
          <w:rFonts w:ascii="宋体" w:hAnsi="宋体" w:eastAsia="宋体"/>
        </w:rPr>
      </w:pPr>
      <w:bookmarkStart w:id="12" w:name="_Toc368691871"/>
      <w:r>
        <w:rPr>
          <w:rFonts w:ascii="宋体" w:hAnsi="宋体" w:eastAsia="宋体"/>
        </w:rPr>
        <w:t>人力资源安全策略</w:t>
      </w:r>
      <w:bookmarkEnd w:id="12"/>
    </w:p>
    <w:p>
      <w:pPr>
        <w:numPr>
          <w:ilvl w:val="0"/>
          <w:numId w:val="4"/>
        </w:numPr>
        <w:spacing w:line="360" w:lineRule="auto"/>
        <w:rPr>
          <w:rFonts w:ascii="宋体" w:hAnsi="宋体"/>
          <w:sz w:val="24"/>
        </w:rPr>
      </w:pPr>
      <w:r>
        <w:rPr>
          <w:rFonts w:ascii="宋体" w:hAnsi="宋体"/>
          <w:sz w:val="24"/>
        </w:rPr>
        <w:t>应根据员工职位说明书严格履行各自的安全角色和职责，主要包括保护资产免受未授权的访问、泄漏、修改、销毁或干扰，执行特定的安全过程或活动，报告安全事件或其他风险。安全角色和职责必须清晰的传达给所有员工，确保他们能清楚各自的安全责任。</w:t>
      </w:r>
    </w:p>
    <w:p>
      <w:pPr>
        <w:numPr>
          <w:ilvl w:val="0"/>
          <w:numId w:val="4"/>
        </w:numPr>
        <w:spacing w:line="360" w:lineRule="auto"/>
        <w:rPr>
          <w:rFonts w:ascii="宋体" w:hAnsi="宋体"/>
          <w:sz w:val="24"/>
        </w:rPr>
      </w:pPr>
      <w:r>
        <w:rPr>
          <w:rFonts w:ascii="宋体" w:hAnsi="宋体"/>
          <w:sz w:val="24"/>
        </w:rPr>
        <w:t>外单位人员在访问公司信息处理设施前必须签署保密协议，保密协议内容包括外单位人员访问信息资产的权利、承担的安全责任、违反职责要承担的后果等。要保证外单位人员了解保密协议的条款和内容，并同意协议规定的权利和责任。</w:t>
      </w:r>
    </w:p>
    <w:p>
      <w:pPr>
        <w:numPr>
          <w:ilvl w:val="0"/>
          <w:numId w:val="4"/>
        </w:numPr>
        <w:spacing w:line="360" w:lineRule="auto"/>
        <w:rPr>
          <w:rFonts w:ascii="宋体" w:hAnsi="宋体"/>
          <w:sz w:val="24"/>
        </w:rPr>
      </w:pPr>
      <w:r>
        <w:rPr>
          <w:rFonts w:ascii="宋体" w:hAnsi="宋体"/>
          <w:sz w:val="24"/>
        </w:rPr>
        <w:t>信息安全领导小组应该承担管理职责，保证所有员工和外单位人员能按照安全方针、策略和程序进行日常工作。管理职责包括使所有员工和外单位人员清晰了解各自的安全角色和安全职责、提高他们的安全意识和安全技能等。</w:t>
      </w:r>
    </w:p>
    <w:p>
      <w:pPr>
        <w:numPr>
          <w:ilvl w:val="0"/>
          <w:numId w:val="4"/>
        </w:numPr>
        <w:spacing w:line="360" w:lineRule="auto"/>
        <w:rPr>
          <w:rFonts w:ascii="宋体" w:hAnsi="宋体"/>
          <w:sz w:val="24"/>
        </w:rPr>
      </w:pPr>
      <w:r>
        <w:rPr>
          <w:rFonts w:ascii="宋体" w:hAnsi="宋体"/>
          <w:sz w:val="24"/>
        </w:rPr>
        <w:t>定期对所有员工和外单位人员进行安全培训，培训内容包括公司的安全方针、策略、程序、信息处理设施正确使用方法、安全意识等。根据人员的安全角色和职责制定不同的培训计划，保证所有员工和外单位人员能认识到信息安全问题和信息安全事件，并能安装各自的安全角色履行安全职责。</w:t>
      </w:r>
    </w:p>
    <w:p>
      <w:pPr>
        <w:numPr>
          <w:ilvl w:val="0"/>
          <w:numId w:val="4"/>
        </w:numPr>
        <w:spacing w:line="360" w:lineRule="auto"/>
        <w:rPr>
          <w:rFonts w:ascii="宋体" w:hAnsi="宋体"/>
          <w:sz w:val="24"/>
        </w:rPr>
      </w:pPr>
      <w:r>
        <w:rPr>
          <w:rFonts w:ascii="宋体" w:hAnsi="宋体"/>
          <w:sz w:val="24"/>
        </w:rPr>
        <w:t>制定正式的纪律处理过程，来严肃处理安全违规的员工，并威慑其他员工，防止他们违反安全策略、程序和其他安全违规。纪律处理要正确、公平，要根据违规的性质、重要性和对业务的影响等因素区别对待。</w:t>
      </w:r>
    </w:p>
    <w:p>
      <w:pPr>
        <w:numPr>
          <w:ilvl w:val="0"/>
          <w:numId w:val="4"/>
        </w:numPr>
        <w:spacing w:line="360" w:lineRule="auto"/>
        <w:rPr>
          <w:rFonts w:ascii="宋体" w:hAnsi="宋体"/>
          <w:sz w:val="24"/>
        </w:rPr>
      </w:pPr>
      <w:r>
        <w:rPr>
          <w:rFonts w:ascii="宋体" w:hAnsi="宋体"/>
          <w:sz w:val="24"/>
        </w:rPr>
        <w:t>当员工离职或调离其他岗位、外单位人员合同期满时，立即终止原来的安全角色和安全职责，并通知公司所有员工，使所有员工能及时清楚人员的变化。</w:t>
      </w:r>
    </w:p>
    <w:p>
      <w:pPr>
        <w:numPr>
          <w:ilvl w:val="0"/>
          <w:numId w:val="4"/>
        </w:numPr>
        <w:spacing w:line="360" w:lineRule="auto"/>
        <w:rPr>
          <w:rFonts w:ascii="宋体" w:hAnsi="宋体"/>
          <w:sz w:val="24"/>
        </w:rPr>
      </w:pPr>
      <w:r>
        <w:rPr>
          <w:rFonts w:ascii="宋体" w:hAnsi="宋体"/>
          <w:sz w:val="24"/>
        </w:rPr>
        <w:t>当员工离职或调离其他岗位、外单位人员合同期满时，及时回收他们使用的所有资产，如设备、软件、文件、访问卡、电子资料等，防止对资产的非授权使用。</w:t>
      </w:r>
    </w:p>
    <w:p>
      <w:pPr>
        <w:numPr>
          <w:ilvl w:val="0"/>
          <w:numId w:val="4"/>
        </w:numPr>
        <w:spacing w:line="360" w:lineRule="auto"/>
        <w:rPr>
          <w:rFonts w:ascii="宋体" w:hAnsi="宋体"/>
          <w:sz w:val="24"/>
        </w:rPr>
      </w:pPr>
      <w:r>
        <w:rPr>
          <w:rFonts w:ascii="宋体" w:hAnsi="宋体"/>
          <w:sz w:val="24"/>
        </w:rPr>
        <w:t>当员工离职或调离其他岗位、外单位人员合同期满时，及时删除他们对信息和信息处理设施的访问权限，访问权限包括物理和逻辑访问、密钥、身份卡、信息处理设备、签名等。对于他们知道的</w:t>
      </w:r>
      <w:r>
        <w:rPr>
          <w:rFonts w:hint="eastAsia" w:ascii="宋体" w:hAnsi="宋体"/>
          <w:sz w:val="24"/>
        </w:rPr>
        <w:t>账户</w:t>
      </w:r>
      <w:r>
        <w:rPr>
          <w:rFonts w:ascii="宋体" w:hAnsi="宋体"/>
          <w:sz w:val="24"/>
        </w:rPr>
        <w:t>，应修改密码。所有与他们在工作上有联系的员工，不能再共享信息给他们。要保证撤销他们所有的访问权限，避免不满的人员可能故意破坏信息和信息处理设施，或可能为将来的使用而收集信息。</w:t>
      </w:r>
    </w:p>
    <w:p>
      <w:pPr>
        <w:pStyle w:val="3"/>
        <w:tabs>
          <w:tab w:val="left" w:pos="0"/>
          <w:tab w:val="clear" w:pos="567"/>
        </w:tabs>
        <w:ind w:left="0" w:firstLine="0"/>
        <w:rPr>
          <w:rFonts w:ascii="宋体" w:hAnsi="宋体" w:eastAsia="宋体"/>
        </w:rPr>
      </w:pPr>
      <w:bookmarkStart w:id="13" w:name="_Toc368691872"/>
      <w:r>
        <w:rPr>
          <w:rFonts w:ascii="宋体" w:hAnsi="宋体" w:eastAsia="宋体"/>
        </w:rPr>
        <w:t>物理和环境安全策略</w:t>
      </w:r>
      <w:bookmarkEnd w:id="13"/>
    </w:p>
    <w:p>
      <w:pPr>
        <w:numPr>
          <w:ilvl w:val="0"/>
          <w:numId w:val="5"/>
        </w:numPr>
        <w:spacing w:line="360" w:lineRule="auto"/>
        <w:rPr>
          <w:rFonts w:ascii="宋体" w:hAnsi="宋体"/>
          <w:sz w:val="24"/>
        </w:rPr>
      </w:pPr>
      <w:r>
        <w:rPr>
          <w:rFonts w:ascii="宋体" w:hAnsi="宋体"/>
          <w:sz w:val="24"/>
        </w:rPr>
        <w:t>公司的物理场所划分为安全区域、办公区域和公共区域，根据安全区域内资产的安全需求和风险评估结果，使用如围墙、门禁、监视设备、报警系统、访问控制手段等物理保护措施，来对安全区域边界提供物理保护，防止被未授权访问和恶意破坏。</w:t>
      </w:r>
    </w:p>
    <w:p>
      <w:pPr>
        <w:numPr>
          <w:ilvl w:val="0"/>
          <w:numId w:val="5"/>
        </w:numPr>
        <w:spacing w:line="360" w:lineRule="auto"/>
        <w:rPr>
          <w:rFonts w:ascii="宋体" w:hAnsi="宋体"/>
          <w:sz w:val="24"/>
        </w:rPr>
      </w:pPr>
      <w:r>
        <w:rPr>
          <w:rFonts w:ascii="宋体" w:hAnsi="宋体"/>
          <w:sz w:val="24"/>
        </w:rPr>
        <w:t>使用安全控制措施，对安全区域的入口进行控制，确保只有授权人员才可以访问安全区域。安全控制措施包括记录访问者进入和离开的时间，审计访问重要区域的行为，外单位人员</w:t>
      </w:r>
      <w:r>
        <w:rPr>
          <w:rFonts w:hint="eastAsia" w:ascii="宋体" w:hAnsi="宋体"/>
          <w:sz w:val="24"/>
        </w:rPr>
        <w:t>需</w:t>
      </w:r>
      <w:r>
        <w:rPr>
          <w:rFonts w:ascii="宋体" w:hAnsi="宋体"/>
          <w:sz w:val="24"/>
        </w:rPr>
        <w:t>有专人陪同等。信息安全领导小组应要对安全区域的访问权限定期进行评审，必要时进行更新和废除。</w:t>
      </w:r>
    </w:p>
    <w:p>
      <w:pPr>
        <w:numPr>
          <w:ilvl w:val="0"/>
          <w:numId w:val="5"/>
        </w:numPr>
        <w:spacing w:line="360" w:lineRule="auto"/>
        <w:rPr>
          <w:rFonts w:ascii="宋体" w:hAnsi="宋体"/>
          <w:sz w:val="24"/>
        </w:rPr>
      </w:pPr>
      <w:r>
        <w:rPr>
          <w:rFonts w:ascii="宋体" w:hAnsi="宋体"/>
          <w:sz w:val="24"/>
        </w:rPr>
        <w:t>使用物理保护措施，对来自外部和环境的威胁提供安全防护，防止由于火灾、洪水、地震、爆炸、社会动荡和其他形式的自然或人为灾难而引起的破坏。物理保护措施包括危险或易燃材料在离安全区域安全距离以外的地方存放，恢复设备和备份媒体的存放地点与主场地保持安全距离，在安全区域合适的地点提供灭火设备等。</w:t>
      </w:r>
    </w:p>
    <w:p>
      <w:pPr>
        <w:numPr>
          <w:ilvl w:val="0"/>
          <w:numId w:val="5"/>
        </w:numPr>
        <w:spacing w:line="360" w:lineRule="auto"/>
        <w:rPr>
          <w:rFonts w:ascii="宋体" w:hAnsi="宋体"/>
          <w:sz w:val="24"/>
        </w:rPr>
      </w:pPr>
      <w:r>
        <w:rPr>
          <w:rFonts w:ascii="宋体" w:hAnsi="宋体"/>
          <w:sz w:val="24"/>
        </w:rPr>
        <w:t>员工和外单位人员应严格遵守安全区域内的工作指南，避免由于误操作对安全区域造成的物理破坏并减少恶意活动。工作指南包括监督在安全区域内的工作行为，未使用的安全区域要上锁并定期进行检查，不允许非授权携带摄影、视频、声频或其他记录设备等内容。</w:t>
      </w:r>
    </w:p>
    <w:p>
      <w:pPr>
        <w:numPr>
          <w:ilvl w:val="0"/>
          <w:numId w:val="5"/>
        </w:numPr>
        <w:spacing w:line="360" w:lineRule="auto"/>
        <w:rPr>
          <w:rFonts w:ascii="宋体" w:hAnsi="宋体"/>
          <w:sz w:val="24"/>
        </w:rPr>
      </w:pPr>
      <w:r>
        <w:rPr>
          <w:rFonts w:ascii="宋体" w:hAnsi="宋体"/>
          <w:sz w:val="24"/>
        </w:rPr>
        <w:t>合理安置和保护设备，包括将设备安置到安全区域并尽量减少不必要的对安全区域的访问，把处理敏感数据的信息处理设施放在限制观测的位置，禁止在信息处理设施附近进食、喝饮和抽烟，监视温度、湿度等环境条件等，来减少由环境威胁造成的风险和避免对设备的非授权访问。</w:t>
      </w:r>
    </w:p>
    <w:p>
      <w:pPr>
        <w:numPr>
          <w:ilvl w:val="0"/>
          <w:numId w:val="5"/>
        </w:numPr>
        <w:spacing w:line="360" w:lineRule="auto"/>
        <w:rPr>
          <w:rFonts w:ascii="宋体" w:hAnsi="宋体"/>
          <w:sz w:val="24"/>
        </w:rPr>
      </w:pPr>
      <w:r>
        <w:rPr>
          <w:rFonts w:ascii="宋体" w:hAnsi="宋体"/>
          <w:sz w:val="24"/>
        </w:rPr>
        <w:t>提供足够的支持性设施，包括使用不间断电源（UPS），使用稳定足够的供水以支持空调、加湿设备和灭火系统，定期进行检查、测试以确保功能有效等，来减少由于他们的故障或失效带来的风险，并使设备避免由他们引起的电源故障和其他中断。</w:t>
      </w:r>
    </w:p>
    <w:p>
      <w:pPr>
        <w:numPr>
          <w:ilvl w:val="0"/>
          <w:numId w:val="5"/>
        </w:numPr>
        <w:spacing w:line="360" w:lineRule="auto"/>
        <w:rPr>
          <w:rFonts w:ascii="宋体" w:hAnsi="宋体"/>
          <w:sz w:val="24"/>
        </w:rPr>
      </w:pPr>
      <w:r>
        <w:rPr>
          <w:rFonts w:ascii="宋体" w:hAnsi="宋体"/>
          <w:sz w:val="24"/>
        </w:rPr>
        <w:t>对传输数据和支持信息服务的电源布缆、通信布缆进行有效防护，保证他们免受窃听和损坏。防护措施包括将电源和电信线路埋在地下，分开电源电缆和通信电缆以防止干扰，使用清晰的电缆识别标记以防止操作失误等。</w:t>
      </w:r>
    </w:p>
    <w:p>
      <w:pPr>
        <w:numPr>
          <w:ilvl w:val="0"/>
          <w:numId w:val="5"/>
        </w:numPr>
        <w:spacing w:line="360" w:lineRule="auto"/>
        <w:rPr>
          <w:rFonts w:ascii="宋体" w:hAnsi="宋体"/>
          <w:sz w:val="24"/>
        </w:rPr>
      </w:pPr>
      <w:r>
        <w:rPr>
          <w:rFonts w:ascii="宋体" w:hAnsi="宋体"/>
          <w:sz w:val="24"/>
        </w:rPr>
        <w:t>对设备进行正确维护，以确保其持续的可用性和完整性。要按照设备供应商建议的时间间隔和规范对设备进行维护，对设备的修理和服务必须是已授权的维护人员，要保存所有可疑的、实际的故障和所有预防、纠正维护的记录，设备进行维护前需删除其中的敏感信息。</w:t>
      </w:r>
    </w:p>
    <w:p>
      <w:pPr>
        <w:numPr>
          <w:ilvl w:val="0"/>
          <w:numId w:val="5"/>
        </w:numPr>
        <w:spacing w:line="360" w:lineRule="auto"/>
        <w:rPr>
          <w:rFonts w:ascii="宋体" w:hAnsi="宋体"/>
          <w:sz w:val="24"/>
        </w:rPr>
      </w:pPr>
      <w:r>
        <w:rPr>
          <w:rFonts w:ascii="宋体" w:hAnsi="宋体"/>
          <w:sz w:val="24"/>
        </w:rPr>
        <w:t>包含储存介质的设备，要删除或安全重写敏感信息和注册软件，确保敏感信息和注册软件已被安全处置，避免由于草率处理或重用而导致信息泄漏。</w:t>
      </w:r>
    </w:p>
    <w:p>
      <w:pPr>
        <w:numPr>
          <w:ilvl w:val="0"/>
          <w:numId w:val="5"/>
        </w:numPr>
        <w:spacing w:line="360" w:lineRule="auto"/>
        <w:rPr>
          <w:rFonts w:ascii="宋体" w:hAnsi="宋体"/>
          <w:sz w:val="24"/>
        </w:rPr>
      </w:pPr>
      <w:r>
        <w:rPr>
          <w:rFonts w:ascii="宋体" w:hAnsi="宋体"/>
          <w:sz w:val="24"/>
        </w:rPr>
        <w:t>设备、信息或软件在带出公司场所时，要进行授权、记录，设置设备移动的时间限制，在返还时执行一致性检查并作送回记录，以保证设备被带出公司场所时的安全。</w:t>
      </w:r>
    </w:p>
    <w:p>
      <w:pPr>
        <w:pStyle w:val="3"/>
        <w:tabs>
          <w:tab w:val="left" w:pos="0"/>
          <w:tab w:val="clear" w:pos="567"/>
        </w:tabs>
        <w:ind w:left="0" w:firstLine="0"/>
        <w:rPr>
          <w:rFonts w:ascii="宋体" w:hAnsi="宋体" w:eastAsia="宋体"/>
        </w:rPr>
      </w:pPr>
      <w:bookmarkStart w:id="14" w:name="_Toc368691873"/>
      <w:r>
        <w:rPr>
          <w:rFonts w:ascii="宋体" w:hAnsi="宋体" w:eastAsia="宋体"/>
        </w:rPr>
        <w:t>通信和操作安全策略</w:t>
      </w:r>
      <w:bookmarkEnd w:id="14"/>
    </w:p>
    <w:p>
      <w:pPr>
        <w:numPr>
          <w:ilvl w:val="0"/>
          <w:numId w:val="6"/>
        </w:numPr>
        <w:spacing w:line="360" w:lineRule="auto"/>
        <w:rPr>
          <w:rFonts w:ascii="宋体" w:hAnsi="宋体"/>
          <w:sz w:val="24"/>
        </w:rPr>
      </w:pPr>
      <w:r>
        <w:rPr>
          <w:rFonts w:ascii="宋体" w:hAnsi="宋体"/>
          <w:sz w:val="24"/>
        </w:rPr>
        <w:t>根据信息处理设施的管理、操作职责和程序，进行数据备份、设备维护、媒体处理和机房管理，确保能正确、安全的操作信息处理设施。</w:t>
      </w:r>
    </w:p>
    <w:p>
      <w:pPr>
        <w:numPr>
          <w:ilvl w:val="0"/>
          <w:numId w:val="6"/>
        </w:numPr>
        <w:spacing w:line="360" w:lineRule="auto"/>
        <w:rPr>
          <w:rFonts w:ascii="宋体" w:hAnsi="宋体"/>
          <w:sz w:val="24"/>
        </w:rPr>
      </w:pPr>
      <w:r>
        <w:rPr>
          <w:rFonts w:ascii="宋体" w:hAnsi="宋体"/>
          <w:sz w:val="24"/>
        </w:rPr>
        <w:t>严格控制信息处理设施和系统的变更，包括策划和测试变更、制定变更批准程序、向所有有关人员传递变更细节、制定变更反馈程序（即从不成功变更中退出和恢复的程序）等，避免对信息处理设施和系统的变更缺乏控制，降低系统故障和安全故障。</w:t>
      </w:r>
    </w:p>
    <w:p>
      <w:pPr>
        <w:numPr>
          <w:ilvl w:val="0"/>
          <w:numId w:val="6"/>
        </w:numPr>
        <w:spacing w:line="360" w:lineRule="auto"/>
        <w:rPr>
          <w:rFonts w:ascii="宋体" w:hAnsi="宋体"/>
          <w:sz w:val="24"/>
        </w:rPr>
      </w:pPr>
      <w:r>
        <w:rPr>
          <w:rFonts w:ascii="宋体" w:hAnsi="宋体"/>
          <w:sz w:val="24"/>
        </w:rPr>
        <w:t>业务系统的开发、测试和运行设施要分离并进行控制，控制措施包括敏感数据不能拷贝到测试系统环境中、禁止开发和测试人员访问运行系统及其信息等，以减少对运行设施及其信息的未授权访问和带来的潜在风险。</w:t>
      </w:r>
    </w:p>
    <w:p>
      <w:pPr>
        <w:numPr>
          <w:ilvl w:val="0"/>
          <w:numId w:val="6"/>
        </w:numPr>
        <w:spacing w:line="360" w:lineRule="auto"/>
        <w:rPr>
          <w:rFonts w:ascii="宋体" w:hAnsi="宋体"/>
          <w:sz w:val="24"/>
        </w:rPr>
      </w:pPr>
      <w:r>
        <w:rPr>
          <w:rFonts w:ascii="宋体" w:hAnsi="宋体"/>
          <w:sz w:val="24"/>
        </w:rPr>
        <w:t>定期根据外包服务协议中的安全要求，监视、评审由外单位提供的服务、报告和记录，监督协议规定的信息安全条款和条件的严格执行。监视、评审内容包括监视服务执行效率，评审服务报告，审查外包服务的安全事件、操作问题、故障、失误追踪和破坏的记录。</w:t>
      </w:r>
    </w:p>
    <w:p>
      <w:pPr>
        <w:numPr>
          <w:ilvl w:val="0"/>
          <w:numId w:val="6"/>
        </w:numPr>
        <w:spacing w:line="360" w:lineRule="auto"/>
        <w:rPr>
          <w:rFonts w:ascii="宋体" w:hAnsi="宋体"/>
          <w:sz w:val="24"/>
        </w:rPr>
      </w:pPr>
      <w:r>
        <w:rPr>
          <w:rFonts w:ascii="宋体" w:hAnsi="宋体"/>
          <w:sz w:val="24"/>
        </w:rPr>
        <w:t>规划新系统时，要对新系统的用户量、未来的能力需求等进行分析，评估出所需的系统性能，避免新系统出现过载等潜在的瓶颈。</w:t>
      </w:r>
    </w:p>
    <w:p>
      <w:pPr>
        <w:numPr>
          <w:ilvl w:val="0"/>
          <w:numId w:val="6"/>
        </w:numPr>
        <w:spacing w:line="360" w:lineRule="auto"/>
        <w:rPr>
          <w:rFonts w:ascii="宋体" w:hAnsi="宋体"/>
          <w:sz w:val="24"/>
        </w:rPr>
      </w:pPr>
      <w:r>
        <w:rPr>
          <w:rFonts w:ascii="宋体" w:hAnsi="宋体"/>
          <w:sz w:val="24"/>
        </w:rPr>
        <w:t>新业务系统或升级版本在正式上线前，要进行合适的测试，并根据验收要求和标准进行正式的验收，以证实全部验收准则完全被满足。</w:t>
      </w:r>
    </w:p>
    <w:p>
      <w:pPr>
        <w:numPr>
          <w:ilvl w:val="0"/>
          <w:numId w:val="6"/>
        </w:numPr>
        <w:spacing w:line="360" w:lineRule="auto"/>
        <w:rPr>
          <w:rFonts w:ascii="宋体" w:hAnsi="宋体"/>
          <w:sz w:val="24"/>
        </w:rPr>
      </w:pPr>
      <w:r>
        <w:rPr>
          <w:rFonts w:ascii="宋体" w:hAnsi="宋体"/>
          <w:sz w:val="24"/>
        </w:rPr>
        <w:t>在全网采取防病毒机制，来实现对病毒、木马、恶意代码、移动代码的预防、检测和查杀。</w:t>
      </w:r>
    </w:p>
    <w:p>
      <w:pPr>
        <w:numPr>
          <w:ilvl w:val="0"/>
          <w:numId w:val="6"/>
        </w:numPr>
        <w:spacing w:line="360" w:lineRule="auto"/>
        <w:rPr>
          <w:rFonts w:ascii="宋体" w:hAnsi="宋体"/>
          <w:sz w:val="24"/>
        </w:rPr>
      </w:pPr>
      <w:r>
        <w:rPr>
          <w:rFonts w:ascii="宋体" w:hAnsi="宋体"/>
          <w:sz w:val="24"/>
        </w:rPr>
        <w:t>制定详细的备份策略，使用足够的备份设施，定期对业务数据进行备份，确保业务数据在灾难或媒体故障后能及时进行恢复。</w:t>
      </w:r>
    </w:p>
    <w:p>
      <w:pPr>
        <w:numPr>
          <w:ilvl w:val="0"/>
          <w:numId w:val="6"/>
        </w:numPr>
        <w:spacing w:line="360" w:lineRule="auto"/>
        <w:rPr>
          <w:rFonts w:ascii="宋体" w:hAnsi="宋体"/>
          <w:sz w:val="24"/>
        </w:rPr>
      </w:pPr>
      <w:r>
        <w:rPr>
          <w:rFonts w:ascii="宋体" w:hAnsi="宋体"/>
          <w:sz w:val="24"/>
        </w:rPr>
        <w:t>在网络边界、安全域之间使用防火墙或VLAN进行逻辑隔离和访问控制，使用网络安全审计系统对网络访问行为进行记录、监视和回放，保证对网络进行充分的管理和控制，防止威胁的发生，维护业务系统和信息的安全。</w:t>
      </w:r>
    </w:p>
    <w:p>
      <w:pPr>
        <w:numPr>
          <w:ilvl w:val="0"/>
          <w:numId w:val="6"/>
        </w:numPr>
        <w:spacing w:line="360" w:lineRule="auto"/>
        <w:rPr>
          <w:rFonts w:ascii="宋体" w:hAnsi="宋体"/>
          <w:sz w:val="24"/>
        </w:rPr>
      </w:pPr>
      <w:r>
        <w:rPr>
          <w:rFonts w:ascii="宋体" w:hAnsi="宋体"/>
          <w:sz w:val="24"/>
        </w:rPr>
        <w:t>应对磁带、磁盘、U盘、可移动硬件驱动器、CD、DVD、打印媒体等进行有效的管理，防止非授权的使用和破坏。对可移动存储介质的管理包括所有介质应存储在符合制造商说明的安全、保密环境中，使用介质要进行授权、登记并追踪审计等。</w:t>
      </w:r>
    </w:p>
    <w:p>
      <w:pPr>
        <w:numPr>
          <w:ilvl w:val="0"/>
          <w:numId w:val="6"/>
        </w:numPr>
        <w:spacing w:line="360" w:lineRule="auto"/>
        <w:rPr>
          <w:rFonts w:ascii="宋体" w:hAnsi="宋体"/>
          <w:sz w:val="24"/>
        </w:rPr>
      </w:pPr>
      <w:r>
        <w:rPr>
          <w:rFonts w:ascii="宋体" w:hAnsi="宋体"/>
          <w:sz w:val="24"/>
        </w:rPr>
        <w:t>应对不再需要的介质进行安全处置，降低介质敏感信息泄漏给未授权人员的风险。</w:t>
      </w:r>
    </w:p>
    <w:p>
      <w:pPr>
        <w:numPr>
          <w:ilvl w:val="0"/>
          <w:numId w:val="6"/>
        </w:numPr>
        <w:spacing w:line="360" w:lineRule="auto"/>
        <w:rPr>
          <w:rFonts w:ascii="宋体" w:hAnsi="宋体"/>
          <w:sz w:val="24"/>
        </w:rPr>
      </w:pPr>
      <w:r>
        <w:rPr>
          <w:rFonts w:ascii="宋体" w:hAnsi="宋体"/>
          <w:sz w:val="24"/>
        </w:rPr>
        <w:t>依据信息处理和储存程序，对信息进行有效的分类、处理、存储，防止信息的未授权泄漏和不当使用。信息的处理和储存包括按照信息的分类级别来标记、处理信息，标识未授权人员的访问限制，维护已授权的信息使用者的正式记录，定期评审已授权使用者的使用记录等。</w:t>
      </w:r>
    </w:p>
    <w:p>
      <w:pPr>
        <w:numPr>
          <w:ilvl w:val="0"/>
          <w:numId w:val="6"/>
        </w:numPr>
        <w:spacing w:line="360" w:lineRule="auto"/>
        <w:rPr>
          <w:rFonts w:ascii="宋体" w:hAnsi="宋体"/>
          <w:sz w:val="24"/>
        </w:rPr>
      </w:pPr>
      <w:r>
        <w:rPr>
          <w:rFonts w:ascii="宋体" w:hAnsi="宋体"/>
          <w:sz w:val="24"/>
        </w:rPr>
        <w:t>依据信息交换控制程序，来保护通过使用各种类型通信设施的信息交换。</w:t>
      </w:r>
    </w:p>
    <w:p>
      <w:pPr>
        <w:numPr>
          <w:ilvl w:val="0"/>
          <w:numId w:val="6"/>
        </w:numPr>
        <w:spacing w:line="360" w:lineRule="auto"/>
        <w:rPr>
          <w:rFonts w:ascii="宋体" w:hAnsi="宋体"/>
          <w:sz w:val="24"/>
        </w:rPr>
      </w:pPr>
      <w:r>
        <w:rPr>
          <w:rFonts w:ascii="宋体" w:hAnsi="宋体"/>
          <w:sz w:val="24"/>
        </w:rPr>
        <w:t>严格</w:t>
      </w:r>
      <w:r>
        <w:rPr>
          <w:rFonts w:hint="eastAsia" w:ascii="宋体" w:hAnsi="宋体"/>
          <w:sz w:val="24"/>
        </w:rPr>
        <w:t>遵照</w:t>
      </w:r>
      <w:r>
        <w:rPr>
          <w:rFonts w:ascii="宋体" w:hAnsi="宋体"/>
          <w:sz w:val="24"/>
        </w:rPr>
        <w:t>与外部单位之间交换信息和软件的协议，来保证信息传递的安全。交换协议应考虑发送方、接收方的管理职责，确保交换信息的可追溯性和不可抵赖性，信息安全事故中的职责和义务等。</w:t>
      </w:r>
    </w:p>
    <w:p>
      <w:pPr>
        <w:numPr>
          <w:ilvl w:val="0"/>
          <w:numId w:val="6"/>
        </w:numPr>
        <w:spacing w:line="360" w:lineRule="auto"/>
        <w:rPr>
          <w:rFonts w:ascii="宋体" w:hAnsi="宋体"/>
          <w:sz w:val="24"/>
        </w:rPr>
      </w:pPr>
      <w:r>
        <w:rPr>
          <w:rFonts w:ascii="宋体" w:hAnsi="宋体"/>
          <w:sz w:val="24"/>
        </w:rPr>
        <w:t>包含信息的介质在往外运送时，要采取一定的保护措施，以防止未授权的访问、不当使用和毁坏。采取的保护措施包括使用可靠的运输和人员，授权人员要经过领导的批准，包装要足以保护介质在运输期间可能出现的任何物理毁坏等。</w:t>
      </w:r>
    </w:p>
    <w:p>
      <w:pPr>
        <w:numPr>
          <w:ilvl w:val="0"/>
          <w:numId w:val="6"/>
        </w:numPr>
        <w:spacing w:line="360" w:lineRule="auto"/>
        <w:rPr>
          <w:rFonts w:ascii="宋体" w:hAnsi="宋体"/>
          <w:sz w:val="24"/>
        </w:rPr>
      </w:pPr>
      <w:r>
        <w:rPr>
          <w:rFonts w:ascii="宋体" w:hAnsi="宋体"/>
          <w:sz w:val="24"/>
        </w:rPr>
        <w:t>对在电子消息发送中的信息提供安全保护</w:t>
      </w:r>
      <w:r>
        <w:rPr>
          <w:rFonts w:hint="eastAsia" w:ascii="宋体" w:hAnsi="宋体"/>
          <w:sz w:val="24"/>
        </w:rPr>
        <w:t>（如电子邮件）</w:t>
      </w:r>
      <w:r>
        <w:rPr>
          <w:rFonts w:ascii="宋体" w:hAnsi="宋体"/>
          <w:sz w:val="24"/>
        </w:rPr>
        <w:t>，防止信息遭受未授权访问、修改或其他攻击。</w:t>
      </w:r>
    </w:p>
    <w:p>
      <w:pPr>
        <w:numPr>
          <w:ilvl w:val="0"/>
          <w:numId w:val="6"/>
        </w:numPr>
        <w:spacing w:line="360" w:lineRule="auto"/>
        <w:rPr>
          <w:rFonts w:ascii="宋体" w:hAnsi="宋体"/>
          <w:sz w:val="24"/>
        </w:rPr>
      </w:pPr>
      <w:r>
        <w:rPr>
          <w:rFonts w:ascii="宋体" w:hAnsi="宋体"/>
          <w:sz w:val="24"/>
        </w:rPr>
        <w:t>记录用户活动、异常和信息安全事件的日志信息，并保留一定的时间，以支持将来的调查和审计。记录的日志应包含用户名称，日期、时间和关键事件的细节，终端身份或位置等信息。</w:t>
      </w:r>
    </w:p>
    <w:p>
      <w:pPr>
        <w:numPr>
          <w:ilvl w:val="0"/>
          <w:numId w:val="6"/>
        </w:numPr>
        <w:spacing w:line="360" w:lineRule="auto"/>
        <w:rPr>
          <w:rFonts w:ascii="宋体" w:hAnsi="宋体"/>
          <w:sz w:val="24"/>
        </w:rPr>
      </w:pPr>
      <w:r>
        <w:rPr>
          <w:rFonts w:ascii="宋体" w:hAnsi="宋体"/>
          <w:sz w:val="24"/>
        </w:rPr>
        <w:t>使用审计系统，来对信息处理设施的使用进行审计和监视，记录审计和监视结果，并定期评审，使管理员能及时了解设施的状态，并确保用户只执行被明确授权的操作。</w:t>
      </w:r>
    </w:p>
    <w:p>
      <w:pPr>
        <w:numPr>
          <w:ilvl w:val="0"/>
          <w:numId w:val="6"/>
        </w:numPr>
        <w:spacing w:line="360" w:lineRule="auto"/>
        <w:rPr>
          <w:rFonts w:ascii="宋体" w:hAnsi="宋体"/>
          <w:sz w:val="24"/>
        </w:rPr>
      </w:pPr>
      <w:r>
        <w:rPr>
          <w:rFonts w:ascii="宋体" w:hAnsi="宋体"/>
          <w:sz w:val="24"/>
        </w:rPr>
        <w:t>记录日志的设施和日志信息应加以保护，防止被篡改和未授权访问。</w:t>
      </w:r>
    </w:p>
    <w:p>
      <w:pPr>
        <w:numPr>
          <w:ilvl w:val="0"/>
          <w:numId w:val="6"/>
        </w:numPr>
        <w:spacing w:line="360" w:lineRule="auto"/>
        <w:rPr>
          <w:rFonts w:ascii="宋体" w:hAnsi="宋体"/>
          <w:sz w:val="24"/>
        </w:rPr>
      </w:pPr>
      <w:r>
        <w:rPr>
          <w:rFonts w:ascii="宋体" w:hAnsi="宋体"/>
          <w:sz w:val="24"/>
        </w:rPr>
        <w:t>记录系统管理员和系统操作员的操作日志，并定期评审这些日志信息。系统管理员和系统操作员的日志应包括事件发生的时间，涉及的</w:t>
      </w:r>
      <w:r>
        <w:rPr>
          <w:rFonts w:hint="eastAsia" w:ascii="宋体" w:hAnsi="宋体"/>
          <w:sz w:val="24"/>
        </w:rPr>
        <w:t>账号</w:t>
      </w:r>
      <w:r>
        <w:rPr>
          <w:rFonts w:ascii="宋体" w:hAnsi="宋体"/>
          <w:sz w:val="24"/>
        </w:rPr>
        <w:t>和管理员或操作员，事件或故障的信息内容等信息。</w:t>
      </w:r>
    </w:p>
    <w:p>
      <w:pPr>
        <w:numPr>
          <w:ilvl w:val="0"/>
          <w:numId w:val="6"/>
        </w:numPr>
        <w:spacing w:line="360" w:lineRule="auto"/>
        <w:rPr>
          <w:rFonts w:ascii="宋体" w:hAnsi="宋体"/>
          <w:sz w:val="24"/>
        </w:rPr>
      </w:pPr>
      <w:r>
        <w:rPr>
          <w:rFonts w:ascii="宋体" w:hAnsi="宋体"/>
          <w:sz w:val="24"/>
        </w:rPr>
        <w:t>记录信息处理设施报告的故障事件，并实施采取措施进行处理。定期评审故障日志和故障处理措施，确保故障已经被正确处理。</w:t>
      </w:r>
    </w:p>
    <w:p>
      <w:pPr>
        <w:numPr>
          <w:ilvl w:val="0"/>
          <w:numId w:val="6"/>
        </w:numPr>
        <w:spacing w:line="360" w:lineRule="auto"/>
        <w:rPr>
          <w:rFonts w:ascii="宋体" w:hAnsi="宋体"/>
          <w:sz w:val="24"/>
        </w:rPr>
      </w:pPr>
      <w:r>
        <w:rPr>
          <w:rFonts w:ascii="宋体" w:hAnsi="宋体"/>
          <w:sz w:val="24"/>
        </w:rPr>
        <w:t>正确设置系统时钟，公司所有相关信息处理设施的时钟应使用已设的精确时间源进行同步，以确保日志记录时间的准确。</w:t>
      </w:r>
    </w:p>
    <w:p>
      <w:pPr>
        <w:pStyle w:val="3"/>
        <w:tabs>
          <w:tab w:val="left" w:pos="0"/>
          <w:tab w:val="clear" w:pos="567"/>
        </w:tabs>
        <w:ind w:left="0" w:firstLine="0"/>
        <w:rPr>
          <w:rFonts w:ascii="宋体" w:hAnsi="宋体" w:eastAsia="宋体"/>
        </w:rPr>
      </w:pPr>
      <w:bookmarkStart w:id="15" w:name="_Toc368691874"/>
      <w:r>
        <w:rPr>
          <w:rFonts w:ascii="宋体" w:hAnsi="宋体" w:eastAsia="宋体"/>
        </w:rPr>
        <w:t>访问控制策略</w:t>
      </w:r>
      <w:bookmarkEnd w:id="15"/>
    </w:p>
    <w:p>
      <w:pPr>
        <w:numPr>
          <w:ilvl w:val="0"/>
          <w:numId w:val="7"/>
        </w:numPr>
        <w:spacing w:line="360" w:lineRule="auto"/>
        <w:rPr>
          <w:rFonts w:ascii="宋体" w:hAnsi="宋体"/>
          <w:sz w:val="24"/>
        </w:rPr>
      </w:pPr>
      <w:r>
        <w:rPr>
          <w:rFonts w:ascii="宋体" w:hAnsi="宋体"/>
          <w:sz w:val="24"/>
        </w:rPr>
        <w:t>按照正式的用户注册及注销的程序，对所有信息系统及服务的访问权限进行授予和注销。</w:t>
      </w:r>
    </w:p>
    <w:p>
      <w:pPr>
        <w:numPr>
          <w:ilvl w:val="0"/>
          <w:numId w:val="7"/>
        </w:numPr>
        <w:spacing w:line="360" w:lineRule="auto"/>
        <w:rPr>
          <w:rFonts w:ascii="宋体" w:hAnsi="宋体"/>
          <w:sz w:val="24"/>
        </w:rPr>
      </w:pPr>
      <w:r>
        <w:rPr>
          <w:rFonts w:ascii="宋体" w:hAnsi="宋体"/>
          <w:sz w:val="24"/>
        </w:rPr>
        <w:t>各部门必须向信息安全工作小组提交一份系统与互联网连接的列表。</w:t>
      </w:r>
    </w:p>
    <w:p>
      <w:pPr>
        <w:numPr>
          <w:ilvl w:val="0"/>
          <w:numId w:val="7"/>
        </w:numPr>
        <w:spacing w:line="360" w:lineRule="auto"/>
        <w:rPr>
          <w:rFonts w:ascii="宋体" w:hAnsi="宋体"/>
          <w:sz w:val="24"/>
        </w:rPr>
      </w:pPr>
      <w:r>
        <w:rPr>
          <w:rFonts w:ascii="宋体" w:hAnsi="宋体"/>
          <w:sz w:val="24"/>
        </w:rPr>
        <w:t>所有管理性的、特殊账户的用户必须有账户管理说明书、文件，必须获得授权。</w:t>
      </w:r>
    </w:p>
    <w:p>
      <w:pPr>
        <w:numPr>
          <w:ilvl w:val="0"/>
          <w:numId w:val="7"/>
        </w:numPr>
        <w:spacing w:line="360" w:lineRule="auto"/>
        <w:rPr>
          <w:rFonts w:ascii="宋体" w:hAnsi="宋体"/>
          <w:sz w:val="24"/>
        </w:rPr>
      </w:pPr>
      <w:r>
        <w:rPr>
          <w:rFonts w:ascii="宋体" w:hAnsi="宋体"/>
          <w:sz w:val="24"/>
        </w:rPr>
        <w:t>每一个使用管理性的、特殊账号的个人都必须避免滥用权力，并且必须在信息技术中心的指导下使用。</w:t>
      </w:r>
    </w:p>
    <w:p>
      <w:pPr>
        <w:numPr>
          <w:ilvl w:val="0"/>
          <w:numId w:val="7"/>
        </w:numPr>
        <w:spacing w:line="360" w:lineRule="auto"/>
        <w:rPr>
          <w:rFonts w:ascii="宋体" w:hAnsi="宋体"/>
          <w:sz w:val="24"/>
        </w:rPr>
      </w:pPr>
      <w:r>
        <w:rPr>
          <w:rFonts w:ascii="宋体" w:hAnsi="宋体"/>
          <w:sz w:val="24"/>
        </w:rPr>
        <w:t>共有的管理性的、特殊账号的口令在人员离职或发生变更时必须及时更改。</w:t>
      </w:r>
    </w:p>
    <w:p>
      <w:pPr>
        <w:numPr>
          <w:ilvl w:val="0"/>
          <w:numId w:val="7"/>
        </w:numPr>
        <w:spacing w:line="360" w:lineRule="auto"/>
        <w:rPr>
          <w:rFonts w:ascii="宋体" w:hAnsi="宋体"/>
          <w:sz w:val="24"/>
        </w:rPr>
      </w:pPr>
      <w:r>
        <w:rPr>
          <w:rFonts w:ascii="宋体" w:hAnsi="宋体"/>
          <w:sz w:val="24"/>
        </w:rPr>
        <w:t>在系统只有一名管理员的情况下，口令必须由另外的人来保管，以便在紧急情况下其他人可以访问系统。</w:t>
      </w:r>
    </w:p>
    <w:p>
      <w:pPr>
        <w:numPr>
          <w:ilvl w:val="0"/>
          <w:numId w:val="7"/>
        </w:numPr>
        <w:spacing w:line="360" w:lineRule="auto"/>
        <w:rPr>
          <w:rFonts w:ascii="宋体" w:hAnsi="宋体"/>
          <w:sz w:val="24"/>
        </w:rPr>
      </w:pPr>
      <w:r>
        <w:rPr>
          <w:rFonts w:ascii="宋体" w:hAnsi="宋体"/>
          <w:sz w:val="24"/>
        </w:rPr>
        <w:t>当因内外部审核、软件开发、软件安装或其他规定需求而需要特殊的访问账号时，账号必须被授权；创建的日期期限必须明确；工作结束时此账号必须删除。</w:t>
      </w:r>
    </w:p>
    <w:p>
      <w:pPr>
        <w:numPr>
          <w:ilvl w:val="0"/>
          <w:numId w:val="7"/>
        </w:numPr>
        <w:spacing w:line="360" w:lineRule="auto"/>
        <w:rPr>
          <w:rFonts w:ascii="宋体" w:hAnsi="宋体"/>
          <w:sz w:val="24"/>
        </w:rPr>
      </w:pPr>
      <w:r>
        <w:rPr>
          <w:rFonts w:ascii="宋体" w:hAnsi="宋体"/>
          <w:sz w:val="24"/>
        </w:rPr>
        <w:t>创建的所有账号都必须有适于系统或服务的要求。</w:t>
      </w:r>
    </w:p>
    <w:p>
      <w:pPr>
        <w:numPr>
          <w:ilvl w:val="0"/>
          <w:numId w:val="7"/>
        </w:numPr>
        <w:spacing w:line="360" w:lineRule="auto"/>
        <w:rPr>
          <w:rFonts w:ascii="宋体" w:hAnsi="宋体"/>
          <w:sz w:val="24"/>
        </w:rPr>
      </w:pPr>
      <w:r>
        <w:rPr>
          <w:rFonts w:ascii="宋体" w:hAnsi="宋体"/>
          <w:sz w:val="24"/>
        </w:rPr>
        <w:t>所有账号都必须使用分配的用户进行唯一性标识。</w:t>
      </w:r>
    </w:p>
    <w:p>
      <w:pPr>
        <w:numPr>
          <w:ilvl w:val="0"/>
          <w:numId w:val="7"/>
        </w:numPr>
        <w:spacing w:line="360" w:lineRule="auto"/>
        <w:rPr>
          <w:rFonts w:ascii="宋体" w:hAnsi="宋体"/>
          <w:sz w:val="24"/>
        </w:rPr>
      </w:pPr>
      <w:r>
        <w:rPr>
          <w:rFonts w:ascii="宋体" w:hAnsi="宋体"/>
          <w:sz w:val="24"/>
        </w:rPr>
        <w:t>用户账号长期不用（超过30天），建议将该</w:t>
      </w:r>
      <w:r>
        <w:rPr>
          <w:rFonts w:hint="eastAsia" w:ascii="宋体" w:hAnsi="宋体"/>
          <w:sz w:val="24"/>
        </w:rPr>
        <w:t>账号</w:t>
      </w:r>
      <w:r>
        <w:rPr>
          <w:rFonts w:ascii="宋体" w:hAnsi="宋体"/>
          <w:sz w:val="24"/>
        </w:rPr>
        <w:t>锁定。</w:t>
      </w:r>
    </w:p>
    <w:p>
      <w:pPr>
        <w:numPr>
          <w:ilvl w:val="0"/>
          <w:numId w:val="7"/>
        </w:numPr>
        <w:spacing w:line="360" w:lineRule="auto"/>
        <w:rPr>
          <w:rFonts w:ascii="宋体" w:hAnsi="宋体"/>
          <w:sz w:val="24"/>
        </w:rPr>
      </w:pPr>
      <w:r>
        <w:rPr>
          <w:rFonts w:ascii="宋体" w:hAnsi="宋体"/>
          <w:sz w:val="24"/>
        </w:rPr>
        <w:t>所有新用户账号自创建之日起30天不登录，建议将该</w:t>
      </w:r>
      <w:r>
        <w:rPr>
          <w:rFonts w:hint="eastAsia" w:ascii="宋体" w:hAnsi="宋体"/>
          <w:sz w:val="24"/>
        </w:rPr>
        <w:t>账号</w:t>
      </w:r>
      <w:r>
        <w:rPr>
          <w:rFonts w:ascii="宋体" w:hAnsi="宋体"/>
          <w:sz w:val="24"/>
        </w:rPr>
        <w:t>锁定。</w:t>
      </w:r>
    </w:p>
    <w:p>
      <w:pPr>
        <w:numPr>
          <w:ilvl w:val="0"/>
          <w:numId w:val="7"/>
        </w:numPr>
        <w:spacing w:line="360" w:lineRule="auto"/>
        <w:rPr>
          <w:rFonts w:ascii="宋体" w:hAnsi="宋体"/>
          <w:sz w:val="24"/>
        </w:rPr>
      </w:pPr>
      <w:r>
        <w:rPr>
          <w:rFonts w:ascii="宋体" w:hAnsi="宋体"/>
          <w:sz w:val="24"/>
        </w:rPr>
        <w:t>系统管理员或其他指定人员：负责删除个人账号；必须将修改用户账号相关信息的过程文件化；必须定期评审现有账号的有效性，并将此过程文件化；服从单独的审核评审；在管理者要求时，必须提供他们管理的系统账号的列表；必须与授权的管理者合作调查安全事故。</w:t>
      </w:r>
    </w:p>
    <w:p>
      <w:pPr>
        <w:numPr>
          <w:ilvl w:val="0"/>
          <w:numId w:val="7"/>
        </w:numPr>
        <w:spacing w:line="360" w:lineRule="auto"/>
        <w:rPr>
          <w:rFonts w:ascii="宋体" w:hAnsi="宋体"/>
          <w:sz w:val="24"/>
        </w:rPr>
      </w:pPr>
      <w:r>
        <w:rPr>
          <w:rFonts w:ascii="宋体" w:hAnsi="宋体"/>
          <w:sz w:val="24"/>
        </w:rPr>
        <w:t>所有口令，包括初始口令，都必须依据信息技术中心规定的下列规则建立和执行：必须定期更改；必须符合信息技术中心规定的最小长度（8位）；必须是字母和数字字符的组合；必须不能是可以轻易联想到的账号所有者的特性：用户名、绰号、亲属的姓名、生日等；必须不能用字典中的单词或首字母缩写；必须保存历史口令，以防止口令的重复使用。</w:t>
      </w:r>
    </w:p>
    <w:p>
      <w:pPr>
        <w:numPr>
          <w:ilvl w:val="0"/>
          <w:numId w:val="7"/>
        </w:numPr>
        <w:spacing w:line="360" w:lineRule="auto"/>
        <w:rPr>
          <w:rFonts w:ascii="宋体" w:hAnsi="宋体"/>
          <w:sz w:val="24"/>
        </w:rPr>
      </w:pPr>
      <w:r>
        <w:rPr>
          <w:rFonts w:ascii="宋体" w:hAnsi="宋体"/>
          <w:sz w:val="24"/>
        </w:rPr>
        <w:t>用户的账号口令必须不能泄露给任何人，信息技术中心不能询问用户的账户口令。</w:t>
      </w:r>
    </w:p>
    <w:p>
      <w:pPr>
        <w:numPr>
          <w:ilvl w:val="0"/>
          <w:numId w:val="7"/>
        </w:numPr>
        <w:spacing w:line="360" w:lineRule="auto"/>
        <w:rPr>
          <w:rFonts w:ascii="宋体" w:hAnsi="宋体"/>
          <w:sz w:val="24"/>
        </w:rPr>
      </w:pPr>
      <w:r>
        <w:rPr>
          <w:rFonts w:ascii="宋体" w:hAnsi="宋体"/>
          <w:sz w:val="24"/>
        </w:rPr>
        <w:t>如果怀疑口令的安全性，应立即进行更改。</w:t>
      </w:r>
    </w:p>
    <w:p>
      <w:pPr>
        <w:numPr>
          <w:ilvl w:val="0"/>
          <w:numId w:val="7"/>
        </w:numPr>
        <w:spacing w:line="360" w:lineRule="auto"/>
        <w:rPr>
          <w:rFonts w:ascii="宋体" w:hAnsi="宋体"/>
          <w:sz w:val="24"/>
        </w:rPr>
      </w:pPr>
      <w:r>
        <w:rPr>
          <w:rFonts w:ascii="宋体" w:hAnsi="宋体"/>
          <w:sz w:val="24"/>
        </w:rPr>
        <w:t>管理员不能为了使用信息资源规避口令。</w:t>
      </w:r>
    </w:p>
    <w:p>
      <w:pPr>
        <w:numPr>
          <w:ilvl w:val="0"/>
          <w:numId w:val="7"/>
        </w:numPr>
        <w:spacing w:line="360" w:lineRule="auto"/>
        <w:rPr>
          <w:rFonts w:ascii="宋体" w:hAnsi="宋体"/>
          <w:sz w:val="24"/>
        </w:rPr>
      </w:pPr>
      <w:r>
        <w:rPr>
          <w:rFonts w:ascii="宋体" w:hAnsi="宋体"/>
          <w:sz w:val="24"/>
        </w:rPr>
        <w:t>用户不能通过自动登录的方式绕过口令登录程序。</w:t>
      </w:r>
    </w:p>
    <w:p>
      <w:pPr>
        <w:numPr>
          <w:ilvl w:val="0"/>
          <w:numId w:val="7"/>
        </w:numPr>
        <w:spacing w:line="360" w:lineRule="auto"/>
        <w:rPr>
          <w:rFonts w:ascii="宋体" w:hAnsi="宋体"/>
          <w:sz w:val="24"/>
        </w:rPr>
      </w:pPr>
      <w:r>
        <w:rPr>
          <w:rFonts w:ascii="宋体" w:hAnsi="宋体"/>
          <w:sz w:val="24"/>
        </w:rPr>
        <w:t>计算机设备如果无人值守必须启动口令保护屏保或注销。</w:t>
      </w:r>
    </w:p>
    <w:p>
      <w:pPr>
        <w:numPr>
          <w:ilvl w:val="0"/>
          <w:numId w:val="7"/>
        </w:numPr>
        <w:spacing w:line="360" w:lineRule="auto"/>
        <w:rPr>
          <w:rFonts w:ascii="宋体" w:hAnsi="宋体"/>
          <w:sz w:val="24"/>
        </w:rPr>
      </w:pPr>
      <w:r>
        <w:rPr>
          <w:rFonts w:ascii="宋体" w:hAnsi="宋体"/>
          <w:sz w:val="24"/>
        </w:rPr>
        <w:t>所有网络连接设备必须按照主管部门批准的网络设备安全配置表进行合理配置。</w:t>
      </w:r>
    </w:p>
    <w:p>
      <w:pPr>
        <w:numPr>
          <w:ilvl w:val="0"/>
          <w:numId w:val="7"/>
        </w:numPr>
        <w:spacing w:line="360" w:lineRule="auto"/>
        <w:rPr>
          <w:rFonts w:ascii="宋体" w:hAnsi="宋体"/>
          <w:sz w:val="24"/>
        </w:rPr>
      </w:pPr>
      <w:r>
        <w:rPr>
          <w:rFonts w:ascii="宋体" w:hAnsi="宋体"/>
          <w:sz w:val="24"/>
        </w:rPr>
        <w:t>所有连接到网络的硬件必须服从主管部门的管理和监控标准。</w:t>
      </w:r>
    </w:p>
    <w:p>
      <w:pPr>
        <w:numPr>
          <w:ilvl w:val="0"/>
          <w:numId w:val="7"/>
        </w:numPr>
        <w:spacing w:line="360" w:lineRule="auto"/>
        <w:rPr>
          <w:rFonts w:ascii="宋体" w:hAnsi="宋体"/>
          <w:sz w:val="24"/>
        </w:rPr>
      </w:pPr>
      <w:r>
        <w:rPr>
          <w:rFonts w:ascii="宋体" w:hAnsi="宋体"/>
          <w:sz w:val="24"/>
        </w:rPr>
        <w:t>在没有主管部门批准的情况下，不能对活动的网络管理设备的配置进行更改。</w:t>
      </w:r>
    </w:p>
    <w:p>
      <w:pPr>
        <w:numPr>
          <w:ilvl w:val="0"/>
          <w:numId w:val="7"/>
        </w:numPr>
        <w:spacing w:line="360" w:lineRule="auto"/>
        <w:rPr>
          <w:rFonts w:ascii="宋体" w:hAnsi="宋体"/>
          <w:sz w:val="24"/>
        </w:rPr>
      </w:pPr>
      <w:r>
        <w:rPr>
          <w:rFonts w:ascii="宋体" w:hAnsi="宋体"/>
          <w:sz w:val="24"/>
        </w:rPr>
        <w:t>网络基础设施支持一系列合理定义的、被认可的网络协议，使用任何未经认可的协议都必须经过信息技术中心的批准。</w:t>
      </w:r>
    </w:p>
    <w:p>
      <w:pPr>
        <w:numPr>
          <w:ilvl w:val="0"/>
          <w:numId w:val="7"/>
        </w:numPr>
        <w:spacing w:line="360" w:lineRule="auto"/>
        <w:rPr>
          <w:rFonts w:ascii="宋体" w:hAnsi="宋体"/>
          <w:sz w:val="24"/>
        </w:rPr>
      </w:pPr>
      <w:r>
        <w:rPr>
          <w:rFonts w:ascii="宋体" w:hAnsi="宋体"/>
          <w:sz w:val="24"/>
        </w:rPr>
        <w:t>支持协议的网络地址由信息技术中心集中分配、注册和管理。</w:t>
      </w:r>
    </w:p>
    <w:p>
      <w:pPr>
        <w:numPr>
          <w:ilvl w:val="0"/>
          <w:numId w:val="7"/>
        </w:numPr>
        <w:spacing w:line="360" w:lineRule="auto"/>
        <w:rPr>
          <w:rFonts w:ascii="宋体" w:hAnsi="宋体"/>
          <w:sz w:val="24"/>
        </w:rPr>
      </w:pPr>
      <w:r>
        <w:rPr>
          <w:rFonts w:ascii="宋体" w:hAnsi="宋体"/>
          <w:sz w:val="24"/>
        </w:rPr>
        <w:t>网络基础设施与外部网络的所有连接都由信息技术中心负责。</w:t>
      </w:r>
    </w:p>
    <w:p>
      <w:pPr>
        <w:numPr>
          <w:ilvl w:val="0"/>
          <w:numId w:val="7"/>
        </w:numPr>
        <w:spacing w:line="360" w:lineRule="auto"/>
        <w:rPr>
          <w:rFonts w:ascii="宋体" w:hAnsi="宋体"/>
          <w:sz w:val="24"/>
        </w:rPr>
      </w:pPr>
      <w:r>
        <w:rPr>
          <w:rFonts w:ascii="宋体" w:hAnsi="宋体"/>
          <w:sz w:val="24"/>
        </w:rPr>
        <w:t>防火墙必须按照防火墙实施规范文件进行安装和配置。</w:t>
      </w:r>
    </w:p>
    <w:p>
      <w:pPr>
        <w:numPr>
          <w:ilvl w:val="0"/>
          <w:numId w:val="7"/>
        </w:numPr>
        <w:spacing w:line="360" w:lineRule="auto"/>
        <w:rPr>
          <w:rFonts w:ascii="宋体" w:hAnsi="宋体"/>
          <w:sz w:val="24"/>
        </w:rPr>
      </w:pPr>
      <w:r>
        <w:rPr>
          <w:rFonts w:ascii="宋体" w:hAnsi="宋体"/>
          <w:sz w:val="24"/>
        </w:rPr>
        <w:t>未经主管部门批准不可以安装路由器、交换机、集线器或者无线访问端口。</w:t>
      </w:r>
    </w:p>
    <w:p>
      <w:pPr>
        <w:numPr>
          <w:ilvl w:val="0"/>
          <w:numId w:val="7"/>
        </w:numPr>
        <w:spacing w:line="360" w:lineRule="auto"/>
        <w:rPr>
          <w:rFonts w:ascii="宋体" w:hAnsi="宋体"/>
          <w:sz w:val="24"/>
        </w:rPr>
      </w:pPr>
      <w:r>
        <w:rPr>
          <w:rFonts w:ascii="宋体" w:hAnsi="宋体"/>
          <w:sz w:val="24"/>
        </w:rPr>
        <w:t>在未经主管部门批准的情况下，用户不得安装网络硬件或软件提供网络服务。</w:t>
      </w:r>
    </w:p>
    <w:p>
      <w:pPr>
        <w:numPr>
          <w:ilvl w:val="0"/>
          <w:numId w:val="7"/>
        </w:numPr>
        <w:spacing w:line="360" w:lineRule="auto"/>
        <w:rPr>
          <w:rFonts w:ascii="宋体" w:hAnsi="宋体"/>
          <w:sz w:val="24"/>
        </w:rPr>
      </w:pPr>
      <w:r>
        <w:rPr>
          <w:rFonts w:ascii="宋体" w:hAnsi="宋体"/>
          <w:sz w:val="24"/>
        </w:rPr>
        <w:t>不允许用户以任何方式更换网络硬件。</w:t>
      </w:r>
    </w:p>
    <w:p>
      <w:pPr>
        <w:numPr>
          <w:ilvl w:val="0"/>
          <w:numId w:val="7"/>
        </w:numPr>
        <w:spacing w:line="360" w:lineRule="auto"/>
        <w:rPr>
          <w:rFonts w:ascii="宋体" w:hAnsi="宋体"/>
          <w:sz w:val="24"/>
        </w:rPr>
      </w:pPr>
      <w:r>
        <w:rPr>
          <w:rFonts w:ascii="宋体" w:hAnsi="宋体"/>
          <w:sz w:val="24"/>
        </w:rPr>
        <w:t>通过提供给用户唯一得识别码（用户ID）和选择一种适当的鉴别技术（密码手段、智能卡、令牌或生物手段）证实用户身份的方法，对访问操作系统的用户进行用户识别和鉴别。</w:t>
      </w:r>
    </w:p>
    <w:p>
      <w:pPr>
        <w:numPr>
          <w:ilvl w:val="0"/>
          <w:numId w:val="7"/>
        </w:numPr>
        <w:spacing w:line="360" w:lineRule="auto"/>
        <w:rPr>
          <w:rFonts w:ascii="宋体" w:hAnsi="宋体"/>
          <w:sz w:val="24"/>
        </w:rPr>
      </w:pPr>
      <w:r>
        <w:rPr>
          <w:rFonts w:ascii="宋体" w:hAnsi="宋体"/>
          <w:sz w:val="24"/>
        </w:rPr>
        <w:t>应严格控制对可能越过系统和应用程序控制的工具程序的使用，防止系统工具的滥用。</w:t>
      </w:r>
    </w:p>
    <w:p>
      <w:pPr>
        <w:numPr>
          <w:ilvl w:val="0"/>
          <w:numId w:val="7"/>
        </w:numPr>
        <w:spacing w:line="360" w:lineRule="auto"/>
        <w:rPr>
          <w:rFonts w:ascii="宋体" w:hAnsi="宋体"/>
          <w:sz w:val="24"/>
        </w:rPr>
      </w:pPr>
      <w:r>
        <w:rPr>
          <w:rFonts w:ascii="宋体" w:hAnsi="宋体"/>
          <w:sz w:val="24"/>
        </w:rPr>
        <w:t>在访问操作系统过程中，对于不活动的会话必须设定在一个不活动周期后关闭，以防止未授权人员访问和拒绝服务攻击。</w:t>
      </w:r>
    </w:p>
    <w:p>
      <w:pPr>
        <w:numPr>
          <w:ilvl w:val="0"/>
          <w:numId w:val="7"/>
        </w:numPr>
        <w:spacing w:line="360" w:lineRule="auto"/>
        <w:rPr>
          <w:rFonts w:ascii="宋体" w:hAnsi="宋体"/>
          <w:sz w:val="24"/>
        </w:rPr>
      </w:pPr>
      <w:r>
        <w:rPr>
          <w:rFonts w:ascii="宋体" w:hAnsi="宋体"/>
          <w:sz w:val="24"/>
        </w:rPr>
        <w:t>基于各个业务应用要求，应严格限制用户对信息和应用系统功能的访问权限，防止对信息系统的未授权访问。</w:t>
      </w:r>
    </w:p>
    <w:p>
      <w:pPr>
        <w:numPr>
          <w:ilvl w:val="0"/>
          <w:numId w:val="7"/>
        </w:numPr>
        <w:spacing w:line="360" w:lineRule="auto"/>
        <w:rPr>
          <w:rFonts w:ascii="宋体" w:hAnsi="宋体"/>
          <w:sz w:val="24"/>
        </w:rPr>
      </w:pPr>
      <w:r>
        <w:rPr>
          <w:rFonts w:ascii="宋体" w:hAnsi="宋体"/>
          <w:sz w:val="24"/>
        </w:rPr>
        <w:t>对关键的业务系统，必须建立隔离的运算环境，以防止对关键业务信息的未授权访问。</w:t>
      </w:r>
    </w:p>
    <w:p>
      <w:pPr>
        <w:numPr>
          <w:ilvl w:val="0"/>
          <w:numId w:val="7"/>
        </w:numPr>
        <w:spacing w:line="360" w:lineRule="auto"/>
        <w:rPr>
          <w:rFonts w:ascii="宋体" w:hAnsi="宋体"/>
          <w:sz w:val="24"/>
        </w:rPr>
      </w:pPr>
      <w:r>
        <w:rPr>
          <w:rFonts w:ascii="宋体" w:hAnsi="宋体"/>
          <w:sz w:val="24"/>
        </w:rPr>
        <w:t>只有被批准的笔记本电脑才能用来访问信息资源；</w:t>
      </w:r>
    </w:p>
    <w:p>
      <w:pPr>
        <w:numPr>
          <w:ilvl w:val="0"/>
          <w:numId w:val="7"/>
        </w:numPr>
        <w:spacing w:line="360" w:lineRule="auto"/>
        <w:rPr>
          <w:rFonts w:ascii="宋体" w:hAnsi="宋体"/>
          <w:sz w:val="24"/>
        </w:rPr>
      </w:pPr>
      <w:r>
        <w:rPr>
          <w:rFonts w:ascii="宋体" w:hAnsi="宋体"/>
          <w:sz w:val="24"/>
        </w:rPr>
        <w:t>笔记本电脑必须有口令保护；</w:t>
      </w:r>
    </w:p>
    <w:p>
      <w:pPr>
        <w:numPr>
          <w:ilvl w:val="0"/>
          <w:numId w:val="7"/>
        </w:numPr>
        <w:spacing w:line="360" w:lineRule="auto"/>
        <w:rPr>
          <w:rFonts w:ascii="宋体" w:hAnsi="宋体"/>
          <w:sz w:val="24"/>
        </w:rPr>
      </w:pPr>
      <w:r>
        <w:rPr>
          <w:rFonts w:ascii="宋体" w:hAnsi="宋体"/>
          <w:sz w:val="24"/>
        </w:rPr>
        <w:t>数据不应存储在笔记本电脑中。但是，在无可选择区域存储的情况下，可以存储，但必须使用被认可的加密技术进行加密；</w:t>
      </w:r>
    </w:p>
    <w:p>
      <w:pPr>
        <w:numPr>
          <w:ilvl w:val="0"/>
          <w:numId w:val="7"/>
        </w:numPr>
        <w:spacing w:line="360" w:lineRule="auto"/>
        <w:rPr>
          <w:rFonts w:ascii="宋体" w:hAnsi="宋体"/>
          <w:sz w:val="24"/>
        </w:rPr>
      </w:pPr>
      <w:r>
        <w:rPr>
          <w:rFonts w:ascii="宋体" w:hAnsi="宋体"/>
          <w:sz w:val="24"/>
        </w:rPr>
        <w:t>不使用笔记本电脑通过无线方式传输数据，除非使用经信息技术中心批准或认可的无线传输协议；</w:t>
      </w:r>
    </w:p>
    <w:p>
      <w:pPr>
        <w:numPr>
          <w:ilvl w:val="0"/>
          <w:numId w:val="7"/>
        </w:numPr>
        <w:spacing w:line="360" w:lineRule="auto"/>
        <w:rPr>
          <w:rFonts w:ascii="宋体" w:hAnsi="宋体"/>
          <w:sz w:val="24"/>
        </w:rPr>
      </w:pPr>
      <w:r>
        <w:rPr>
          <w:rFonts w:ascii="宋体" w:hAnsi="宋体"/>
          <w:sz w:val="24"/>
        </w:rPr>
        <w:t>需要连接互联网的计算机系统必须符合信息服务标准，并被信息技术中心书面批准；</w:t>
      </w:r>
    </w:p>
    <w:p>
      <w:pPr>
        <w:numPr>
          <w:ilvl w:val="0"/>
          <w:numId w:val="7"/>
        </w:numPr>
        <w:spacing w:line="360" w:lineRule="auto"/>
        <w:rPr>
          <w:rFonts w:ascii="宋体" w:hAnsi="宋体"/>
          <w:sz w:val="24"/>
        </w:rPr>
      </w:pPr>
      <w:r>
        <w:rPr>
          <w:rFonts w:ascii="宋体" w:hAnsi="宋体"/>
          <w:sz w:val="24"/>
        </w:rPr>
        <w:t>对无人看守的笔记本电脑必须实施物理保护，必须放在带锁的办公室、抽屉或文件柜里，或者锁在桌子或柜子上。</w:t>
      </w:r>
    </w:p>
    <w:p>
      <w:pPr>
        <w:pStyle w:val="3"/>
        <w:tabs>
          <w:tab w:val="left" w:pos="0"/>
          <w:tab w:val="clear" w:pos="567"/>
        </w:tabs>
        <w:ind w:left="0" w:firstLine="0"/>
        <w:rPr>
          <w:rFonts w:ascii="宋体" w:hAnsi="宋体" w:eastAsia="宋体"/>
        </w:rPr>
      </w:pPr>
      <w:bookmarkStart w:id="16" w:name="_Toc368691875"/>
      <w:r>
        <w:rPr>
          <w:rFonts w:ascii="宋体" w:hAnsi="宋体" w:eastAsia="宋体"/>
        </w:rPr>
        <w:t>信息获取、开发与维护策略</w:t>
      </w:r>
      <w:bookmarkEnd w:id="16"/>
    </w:p>
    <w:p>
      <w:pPr>
        <w:numPr>
          <w:ilvl w:val="0"/>
          <w:numId w:val="8"/>
        </w:numPr>
        <w:spacing w:line="360" w:lineRule="auto"/>
        <w:rPr>
          <w:rFonts w:ascii="宋体" w:hAnsi="宋体"/>
          <w:sz w:val="24"/>
        </w:rPr>
      </w:pPr>
      <w:r>
        <w:rPr>
          <w:rFonts w:ascii="宋体" w:hAnsi="宋体"/>
          <w:sz w:val="24"/>
        </w:rPr>
        <w:t>在新的信息系统或增强已有信息系统的业务需求陈述中，应该识别和明确对安全控制的相关需求。</w:t>
      </w:r>
    </w:p>
    <w:p>
      <w:pPr>
        <w:numPr>
          <w:ilvl w:val="0"/>
          <w:numId w:val="8"/>
        </w:numPr>
        <w:spacing w:line="360" w:lineRule="auto"/>
        <w:rPr>
          <w:rFonts w:ascii="宋体" w:hAnsi="宋体"/>
          <w:sz w:val="24"/>
        </w:rPr>
      </w:pPr>
      <w:r>
        <w:rPr>
          <w:rFonts w:ascii="宋体" w:hAnsi="宋体"/>
          <w:sz w:val="24"/>
        </w:rPr>
        <w:t>对于输入应用系统的数据，主要包括业务事务处理、常备数据和参数表，必须加以验证，以确保数据是正确且适当的。</w:t>
      </w:r>
    </w:p>
    <w:p>
      <w:pPr>
        <w:numPr>
          <w:ilvl w:val="0"/>
          <w:numId w:val="8"/>
        </w:numPr>
        <w:spacing w:line="360" w:lineRule="auto"/>
        <w:rPr>
          <w:rFonts w:ascii="宋体" w:hAnsi="宋体"/>
          <w:sz w:val="24"/>
        </w:rPr>
      </w:pPr>
      <w:r>
        <w:rPr>
          <w:rFonts w:ascii="宋体" w:hAnsi="宋体"/>
          <w:sz w:val="24"/>
        </w:rPr>
        <w:t>在设计和实施应用系统或业务系统的过程中，要求有控制措施，以检查系统运行的有效性和完整性，从而将系统运行失败的风险降到最低。</w:t>
      </w:r>
    </w:p>
    <w:p>
      <w:pPr>
        <w:numPr>
          <w:ilvl w:val="0"/>
          <w:numId w:val="8"/>
        </w:numPr>
        <w:spacing w:line="360" w:lineRule="auto"/>
        <w:rPr>
          <w:rFonts w:ascii="宋体" w:hAnsi="宋体"/>
          <w:sz w:val="24"/>
        </w:rPr>
      </w:pPr>
      <w:r>
        <w:rPr>
          <w:rFonts w:ascii="宋体" w:hAnsi="宋体"/>
          <w:sz w:val="24"/>
        </w:rPr>
        <w:t>在业务过程中，必须明确出所有需要完整性保护的信息，通过安全风险评估确认完整性保护需求，使用密码技术手段对完整性保护进行紧鉴别，从而保护信息的完整性。</w:t>
      </w:r>
    </w:p>
    <w:p>
      <w:pPr>
        <w:numPr>
          <w:ilvl w:val="0"/>
          <w:numId w:val="8"/>
        </w:numPr>
        <w:spacing w:line="360" w:lineRule="auto"/>
        <w:rPr>
          <w:rFonts w:ascii="宋体" w:hAnsi="宋体"/>
          <w:sz w:val="24"/>
        </w:rPr>
      </w:pPr>
      <w:r>
        <w:rPr>
          <w:rFonts w:ascii="宋体" w:hAnsi="宋体"/>
          <w:sz w:val="24"/>
        </w:rPr>
        <w:t>在需要通过网络通信方式进行业务，或通过网络来传输业务数据时，必须使用密码控制方法来实现通信安全或数据保护，主要包括密钥管理方法、密码策略实施的角色分配与安全职责等方面，以确保数据的保密性、完整性和不可否认性。</w:t>
      </w:r>
    </w:p>
    <w:p>
      <w:pPr>
        <w:numPr>
          <w:ilvl w:val="0"/>
          <w:numId w:val="8"/>
        </w:numPr>
        <w:spacing w:line="360" w:lineRule="auto"/>
        <w:rPr>
          <w:rFonts w:ascii="宋体" w:hAnsi="宋体"/>
          <w:sz w:val="24"/>
        </w:rPr>
      </w:pPr>
      <w:r>
        <w:rPr>
          <w:rFonts w:ascii="宋体" w:hAnsi="宋体"/>
          <w:sz w:val="24"/>
        </w:rPr>
        <w:t>在业务过程中，要求使用适当的密钥管理措施，主要包括分开密钥证书的生成、使用、变更、撤销、恢复、归档等操作，以防止使用的密码或密钥被修改、遗失和毁坏，从而防止通过密钥对信息的未授权访问。</w:t>
      </w:r>
    </w:p>
    <w:p>
      <w:pPr>
        <w:numPr>
          <w:ilvl w:val="0"/>
          <w:numId w:val="8"/>
        </w:numPr>
        <w:spacing w:line="360" w:lineRule="auto"/>
        <w:rPr>
          <w:rFonts w:ascii="宋体" w:hAnsi="宋体"/>
          <w:sz w:val="24"/>
        </w:rPr>
      </w:pPr>
      <w:r>
        <w:rPr>
          <w:rFonts w:ascii="宋体" w:hAnsi="宋体"/>
          <w:sz w:val="24"/>
        </w:rPr>
        <w:t>在操作系统上安装或升级软件时，必须按照既定流程来进行控制，使运行系统被损坏的风险减到最小。</w:t>
      </w:r>
    </w:p>
    <w:p>
      <w:pPr>
        <w:numPr>
          <w:ilvl w:val="0"/>
          <w:numId w:val="8"/>
        </w:numPr>
        <w:spacing w:line="360" w:lineRule="auto"/>
        <w:rPr>
          <w:rFonts w:ascii="宋体" w:hAnsi="宋体"/>
          <w:sz w:val="24"/>
        </w:rPr>
      </w:pPr>
      <w:r>
        <w:rPr>
          <w:rFonts w:ascii="宋体" w:hAnsi="宋体"/>
          <w:sz w:val="24"/>
        </w:rPr>
        <w:t>应该从下列几个方面考虑对系统测试数据的保护：访问控制程序是否适用测试应用系统、访问测试系统授权、测试后清除运行信息以及运行信息的拷贝和使用等。</w:t>
      </w:r>
    </w:p>
    <w:p>
      <w:pPr>
        <w:numPr>
          <w:ilvl w:val="0"/>
          <w:numId w:val="8"/>
        </w:numPr>
        <w:spacing w:line="360" w:lineRule="auto"/>
        <w:rPr>
          <w:rFonts w:ascii="宋体" w:hAnsi="宋体"/>
          <w:sz w:val="24"/>
        </w:rPr>
      </w:pPr>
      <w:r>
        <w:rPr>
          <w:rFonts w:ascii="宋体" w:hAnsi="宋体"/>
          <w:sz w:val="24"/>
        </w:rPr>
        <w:t>严格限制对程序源代码和相关事项（包括设计、规范、证明设计和确认设计）的访问，以防止带入一些非授权功能，避免对源代码的无意识的修改。</w:t>
      </w:r>
    </w:p>
    <w:p>
      <w:pPr>
        <w:numPr>
          <w:ilvl w:val="0"/>
          <w:numId w:val="8"/>
        </w:numPr>
        <w:spacing w:line="360" w:lineRule="auto"/>
        <w:rPr>
          <w:rFonts w:ascii="宋体" w:hAnsi="宋体"/>
          <w:sz w:val="24"/>
        </w:rPr>
      </w:pPr>
      <w:r>
        <w:rPr>
          <w:rFonts w:ascii="宋体" w:hAnsi="宋体"/>
          <w:sz w:val="24"/>
        </w:rPr>
        <w:t>在引进新的系统和对已有系统进行变更时，要按照既定的变更控制过程来进行，使信息系统的损坏减到最小。</w:t>
      </w:r>
    </w:p>
    <w:p>
      <w:pPr>
        <w:numPr>
          <w:ilvl w:val="0"/>
          <w:numId w:val="8"/>
        </w:numPr>
        <w:spacing w:line="360" w:lineRule="auto"/>
        <w:rPr>
          <w:rFonts w:ascii="宋体" w:hAnsi="宋体"/>
          <w:sz w:val="24"/>
        </w:rPr>
      </w:pPr>
      <w:r>
        <w:rPr>
          <w:rFonts w:ascii="宋体" w:hAnsi="宋体"/>
          <w:sz w:val="24"/>
        </w:rPr>
        <w:t>当操作系统发生变更后，应对一些关键业务应用系统进行审查和测试，以确保对业务操作或信息安全没有负面影响。</w:t>
      </w:r>
    </w:p>
    <w:p>
      <w:pPr>
        <w:numPr>
          <w:ilvl w:val="0"/>
          <w:numId w:val="8"/>
        </w:numPr>
        <w:spacing w:line="360" w:lineRule="auto"/>
        <w:rPr>
          <w:rFonts w:ascii="宋体" w:hAnsi="宋体"/>
          <w:sz w:val="24"/>
        </w:rPr>
      </w:pPr>
      <w:r>
        <w:rPr>
          <w:rFonts w:ascii="宋体" w:hAnsi="宋体"/>
          <w:sz w:val="24"/>
        </w:rPr>
        <w:t>相关负责部门必须管理和监视外包软件的开发，主要考虑以下方面：落实知识产权、代码质量和安全功能的合同要求以及发生故障时对外单位的要求。</w:t>
      </w:r>
    </w:p>
    <w:p>
      <w:pPr>
        <w:numPr>
          <w:ilvl w:val="0"/>
          <w:numId w:val="8"/>
        </w:numPr>
        <w:spacing w:line="360" w:lineRule="auto"/>
        <w:rPr>
          <w:rFonts w:ascii="宋体" w:hAnsi="宋体"/>
          <w:sz w:val="24"/>
        </w:rPr>
      </w:pPr>
      <w:r>
        <w:rPr>
          <w:rFonts w:ascii="宋体" w:hAnsi="宋体"/>
          <w:sz w:val="24"/>
        </w:rPr>
        <w:t>定期评估现有信息系统的技术脆弱性，并采取打补丁等控制措施来处理相关风险。</w:t>
      </w:r>
    </w:p>
    <w:p>
      <w:pPr>
        <w:pStyle w:val="3"/>
        <w:tabs>
          <w:tab w:val="left" w:pos="0"/>
          <w:tab w:val="clear" w:pos="567"/>
        </w:tabs>
        <w:ind w:left="0" w:firstLine="0"/>
        <w:rPr>
          <w:rFonts w:ascii="宋体" w:hAnsi="宋体" w:eastAsia="宋体"/>
        </w:rPr>
      </w:pPr>
      <w:bookmarkStart w:id="17" w:name="_Toc368691876"/>
      <w:r>
        <w:rPr>
          <w:rFonts w:ascii="宋体" w:hAnsi="宋体" w:eastAsia="宋体"/>
        </w:rPr>
        <w:t>安全事件策略</w:t>
      </w:r>
      <w:bookmarkEnd w:id="17"/>
    </w:p>
    <w:p>
      <w:pPr>
        <w:numPr>
          <w:ilvl w:val="0"/>
          <w:numId w:val="9"/>
        </w:numPr>
        <w:spacing w:line="360" w:lineRule="auto"/>
        <w:rPr>
          <w:rFonts w:ascii="宋体" w:hAnsi="宋体"/>
          <w:sz w:val="24"/>
        </w:rPr>
      </w:pPr>
      <w:r>
        <w:rPr>
          <w:rFonts w:ascii="宋体" w:hAnsi="宋体"/>
          <w:sz w:val="24"/>
        </w:rPr>
        <w:t>遵照信息安全事故报告机制，报告可能对公司的信息资产安全造成影响的不同种类的安全事故和弱点，并确保所有的员工、合同方和外单位人员都遵守执行这套报告程序。</w:t>
      </w:r>
    </w:p>
    <w:p>
      <w:pPr>
        <w:numPr>
          <w:ilvl w:val="0"/>
          <w:numId w:val="9"/>
        </w:numPr>
        <w:spacing w:line="360" w:lineRule="auto"/>
        <w:rPr>
          <w:rFonts w:ascii="宋体" w:hAnsi="宋体"/>
          <w:sz w:val="24"/>
        </w:rPr>
      </w:pPr>
      <w:r>
        <w:rPr>
          <w:rFonts w:ascii="宋体" w:hAnsi="宋体"/>
          <w:sz w:val="24"/>
        </w:rPr>
        <w:t>以信息安全工作小组为信息安全事故和弱点报告对象，确保所有的员工、合同方和外单位人员都知道这个报告对象，并尽可能快地向其报告信息安全事故和弱点。</w:t>
      </w:r>
    </w:p>
    <w:p>
      <w:pPr>
        <w:pStyle w:val="16"/>
      </w:pPr>
      <w:r>
        <w:t>根据事件危害程度，对安全事件进行相应的等级分类。</w:t>
      </w:r>
    </w:p>
    <w:p>
      <w:pPr>
        <w:numPr>
          <w:ilvl w:val="0"/>
          <w:numId w:val="9"/>
        </w:numPr>
        <w:spacing w:line="360" w:lineRule="auto"/>
        <w:rPr>
          <w:rFonts w:ascii="宋体" w:hAnsi="宋体"/>
          <w:sz w:val="24"/>
        </w:rPr>
      </w:pPr>
      <w:r>
        <w:rPr>
          <w:rFonts w:ascii="宋体" w:hAnsi="宋体"/>
          <w:sz w:val="24"/>
        </w:rPr>
        <w:t>一旦信息安全事故和弱点报告上来，要立即明确责任，按照程序进行有效处理，启动适当的事故管理活动，包括事故管理程序中规定的恢复活动，确保能对信息安全事故做出快速、有效和有序的反应。</w:t>
      </w:r>
    </w:p>
    <w:p>
      <w:pPr>
        <w:numPr>
          <w:ilvl w:val="0"/>
          <w:numId w:val="9"/>
        </w:numPr>
        <w:spacing w:line="360" w:lineRule="auto"/>
        <w:rPr>
          <w:rFonts w:ascii="宋体" w:hAnsi="宋体"/>
          <w:sz w:val="24"/>
        </w:rPr>
      </w:pPr>
      <w:r>
        <w:rPr>
          <w:rFonts w:ascii="宋体" w:hAnsi="宋体"/>
          <w:sz w:val="24"/>
        </w:rPr>
        <w:t>信息安全工作小组在报告问题的员工协助下，负责启动、完成并文件化事故调查过程。</w:t>
      </w:r>
    </w:p>
    <w:p>
      <w:pPr>
        <w:numPr>
          <w:ilvl w:val="0"/>
          <w:numId w:val="9"/>
        </w:numPr>
        <w:spacing w:line="360" w:lineRule="auto"/>
        <w:rPr>
          <w:rFonts w:ascii="宋体" w:hAnsi="宋体"/>
          <w:sz w:val="24"/>
        </w:rPr>
      </w:pPr>
      <w:r>
        <w:rPr>
          <w:rFonts w:ascii="宋体" w:hAnsi="宋体"/>
          <w:sz w:val="24"/>
        </w:rPr>
        <w:t>应及时对信息安全事故的类型、频率和影响等进行评估，并采取适当措施防止事故再次发生。</w:t>
      </w:r>
    </w:p>
    <w:p>
      <w:pPr>
        <w:numPr>
          <w:ilvl w:val="0"/>
          <w:numId w:val="9"/>
        </w:numPr>
        <w:spacing w:line="360" w:lineRule="auto"/>
        <w:rPr>
          <w:rFonts w:ascii="宋体" w:hAnsi="宋体"/>
          <w:sz w:val="24"/>
        </w:rPr>
      </w:pPr>
      <w:r>
        <w:rPr>
          <w:rFonts w:ascii="宋体" w:hAnsi="宋体"/>
          <w:sz w:val="24"/>
        </w:rPr>
        <w:t>在事故调查过程中，信息技术中心负责搜集和整理实物和电子证据，证据的存储和处理要符合相关司法程序中的要求。</w:t>
      </w:r>
    </w:p>
    <w:p>
      <w:pPr>
        <w:numPr>
          <w:ilvl w:val="0"/>
          <w:numId w:val="9"/>
        </w:numPr>
        <w:spacing w:line="360" w:lineRule="auto"/>
        <w:rPr>
          <w:rFonts w:ascii="宋体" w:hAnsi="宋体"/>
          <w:sz w:val="24"/>
        </w:rPr>
      </w:pPr>
      <w:r>
        <w:rPr>
          <w:rFonts w:ascii="宋体" w:hAnsi="宋体"/>
          <w:sz w:val="24"/>
        </w:rPr>
        <w:t>在不牵涉到法律强制的地方，信息安全工作小组可以向信息安全领导小组建议惩戒措施，在牵涉到法律强制的地方，信息安全工作小组组长负责与外部单位以及法规强制部门的协调沟通。</w:t>
      </w:r>
    </w:p>
    <w:p>
      <w:pPr>
        <w:pStyle w:val="3"/>
        <w:tabs>
          <w:tab w:val="left" w:pos="0"/>
          <w:tab w:val="clear" w:pos="567"/>
        </w:tabs>
        <w:ind w:left="0" w:firstLine="0"/>
        <w:rPr>
          <w:rFonts w:ascii="宋体" w:hAnsi="宋体" w:eastAsia="宋体"/>
        </w:rPr>
      </w:pPr>
      <w:bookmarkStart w:id="18" w:name="_Toc368691877"/>
      <w:r>
        <w:rPr>
          <w:rFonts w:ascii="宋体" w:hAnsi="宋体" w:eastAsia="宋体"/>
        </w:rPr>
        <w:t>业务连续性策略</w:t>
      </w:r>
      <w:bookmarkEnd w:id="18"/>
    </w:p>
    <w:p>
      <w:pPr>
        <w:numPr>
          <w:ilvl w:val="0"/>
          <w:numId w:val="10"/>
        </w:numPr>
        <w:spacing w:line="360" w:lineRule="auto"/>
        <w:rPr>
          <w:rFonts w:ascii="宋体" w:hAnsi="宋体"/>
          <w:sz w:val="24"/>
        </w:rPr>
      </w:pPr>
      <w:r>
        <w:rPr>
          <w:rFonts w:ascii="宋体" w:hAnsi="宋体"/>
          <w:sz w:val="24"/>
        </w:rPr>
        <w:t>为满足关键业务活动的连续性对信息安全的需求，要求公司各个相关部门执行和维护既定的业务连续性管理过程。这个过程包括资产识别、业务影响分析、控制措施、计划测试与更新等。</w:t>
      </w:r>
    </w:p>
    <w:p>
      <w:pPr>
        <w:numPr>
          <w:ilvl w:val="0"/>
          <w:numId w:val="10"/>
        </w:numPr>
        <w:spacing w:line="360" w:lineRule="auto"/>
        <w:rPr>
          <w:rFonts w:ascii="宋体" w:hAnsi="宋体"/>
          <w:sz w:val="24"/>
        </w:rPr>
      </w:pPr>
      <w:r>
        <w:rPr>
          <w:rFonts w:ascii="宋体" w:hAnsi="宋体"/>
          <w:sz w:val="24"/>
        </w:rPr>
        <w:t>在日常的业务活动中，应该识别设备故障、人为错误、盗窃、火灾、自然灾害和恐怖事件等能引起业务流程中断的事件，定期进行风险评估，确定这些中断发生的概率和影响、损坏程度和复原所需时间。</w:t>
      </w:r>
    </w:p>
    <w:p>
      <w:pPr>
        <w:numPr>
          <w:ilvl w:val="0"/>
          <w:numId w:val="10"/>
        </w:numPr>
        <w:spacing w:line="360" w:lineRule="auto"/>
        <w:rPr>
          <w:rFonts w:ascii="宋体" w:hAnsi="宋体"/>
          <w:sz w:val="24"/>
        </w:rPr>
      </w:pPr>
      <w:r>
        <w:rPr>
          <w:rFonts w:ascii="宋体" w:hAnsi="宋体"/>
          <w:sz w:val="24"/>
        </w:rPr>
        <w:t>必须根据关键业务活动的目标制定业务连续性计划，并且应该满足信息安全相关要求，以确保在关键业务过程中断或失败后能够在要求的水平和要求的时间内恢复信息的可用性。</w:t>
      </w:r>
    </w:p>
    <w:p>
      <w:pPr>
        <w:numPr>
          <w:ilvl w:val="0"/>
          <w:numId w:val="10"/>
        </w:numPr>
        <w:spacing w:line="360" w:lineRule="auto"/>
        <w:rPr>
          <w:rFonts w:ascii="宋体" w:hAnsi="宋体"/>
          <w:sz w:val="24"/>
        </w:rPr>
      </w:pPr>
      <w:r>
        <w:rPr>
          <w:rFonts w:ascii="宋体" w:hAnsi="宋体"/>
          <w:sz w:val="24"/>
        </w:rPr>
        <w:t>必须维持一个确定的业务连续性计划框架，应包含相关信息安全需求，并确保由此制定出的所有计划是一致的。每一个业务连续性计划都必须说明计划实施的可行方法，指定计划责任人，并确定优先次序以进行测试和维护。</w:t>
      </w:r>
    </w:p>
    <w:p>
      <w:pPr>
        <w:numPr>
          <w:ilvl w:val="0"/>
          <w:numId w:val="10"/>
        </w:numPr>
        <w:spacing w:line="360" w:lineRule="auto"/>
        <w:rPr>
          <w:rFonts w:ascii="宋体" w:hAnsi="宋体"/>
          <w:sz w:val="24"/>
        </w:rPr>
      </w:pPr>
      <w:r>
        <w:rPr>
          <w:rFonts w:ascii="宋体" w:hAnsi="宋体"/>
          <w:sz w:val="24"/>
        </w:rPr>
        <w:t>业务连续性计划要定期测试和更新，以确保其及时性和有效性。</w:t>
      </w:r>
    </w:p>
    <w:p>
      <w:pPr>
        <w:pStyle w:val="3"/>
        <w:tabs>
          <w:tab w:val="left" w:pos="0"/>
          <w:tab w:val="clear" w:pos="567"/>
        </w:tabs>
        <w:ind w:left="0" w:firstLine="0"/>
        <w:rPr>
          <w:rFonts w:ascii="宋体" w:hAnsi="宋体" w:eastAsia="宋体"/>
        </w:rPr>
      </w:pPr>
      <w:bookmarkStart w:id="19" w:name="_Toc368691878"/>
      <w:r>
        <w:rPr>
          <w:rFonts w:ascii="宋体" w:hAnsi="宋体" w:eastAsia="宋体"/>
        </w:rPr>
        <w:t>符合性策略</w:t>
      </w:r>
      <w:bookmarkEnd w:id="19"/>
    </w:p>
    <w:p>
      <w:pPr>
        <w:numPr>
          <w:ilvl w:val="0"/>
          <w:numId w:val="11"/>
        </w:numPr>
        <w:spacing w:line="360" w:lineRule="auto"/>
        <w:rPr>
          <w:rFonts w:ascii="宋体" w:hAnsi="宋体"/>
          <w:sz w:val="24"/>
        </w:rPr>
      </w:pPr>
      <w:r>
        <w:rPr>
          <w:rFonts w:ascii="宋体" w:hAnsi="宋体"/>
          <w:sz w:val="24"/>
        </w:rPr>
        <w:t>遵守所有与信息安全相关的法律法规、合同和安全要求，由综合部定期收集和整理，将这些内容形成文件并保持更新。</w:t>
      </w:r>
    </w:p>
    <w:p>
      <w:pPr>
        <w:numPr>
          <w:ilvl w:val="0"/>
          <w:numId w:val="11"/>
        </w:numPr>
        <w:spacing w:line="360" w:lineRule="auto"/>
        <w:rPr>
          <w:rFonts w:ascii="宋体" w:hAnsi="宋体"/>
          <w:sz w:val="24"/>
        </w:rPr>
      </w:pPr>
      <w:r>
        <w:rPr>
          <w:rFonts w:ascii="宋体" w:hAnsi="宋体"/>
          <w:sz w:val="24"/>
        </w:rPr>
        <w:t>现有或新增的信息处理系统，必须符合知识产权相关的法律法规和合同要求。</w:t>
      </w:r>
    </w:p>
    <w:p>
      <w:pPr>
        <w:numPr>
          <w:ilvl w:val="0"/>
          <w:numId w:val="11"/>
        </w:numPr>
        <w:spacing w:line="360" w:lineRule="auto"/>
        <w:rPr>
          <w:rFonts w:ascii="宋体" w:hAnsi="宋体"/>
          <w:sz w:val="24"/>
        </w:rPr>
      </w:pPr>
      <w:r>
        <w:rPr>
          <w:rFonts w:ascii="宋体" w:hAnsi="宋体"/>
          <w:sz w:val="24"/>
        </w:rPr>
        <w:t>各部门应按照相关法律法规要求，明确规定重要记录的保存期限并提供适当的保护，防止丢失、损坏和伪造。</w:t>
      </w:r>
    </w:p>
    <w:p>
      <w:pPr>
        <w:numPr>
          <w:ilvl w:val="0"/>
          <w:numId w:val="11"/>
        </w:numPr>
        <w:spacing w:line="360" w:lineRule="auto"/>
        <w:rPr>
          <w:rFonts w:ascii="宋体" w:hAnsi="宋体"/>
          <w:sz w:val="24"/>
        </w:rPr>
      </w:pPr>
      <w:r>
        <w:rPr>
          <w:rFonts w:ascii="宋体" w:hAnsi="宋体"/>
          <w:sz w:val="24"/>
        </w:rPr>
        <w:t>各部门应按照国家有关规定对个人信息进行妥善管理与保护，防止丢失或泄露个人秘密。</w:t>
      </w:r>
    </w:p>
    <w:p>
      <w:pPr>
        <w:numPr>
          <w:ilvl w:val="0"/>
          <w:numId w:val="11"/>
        </w:numPr>
        <w:spacing w:line="360" w:lineRule="auto"/>
        <w:rPr>
          <w:rFonts w:ascii="宋体" w:hAnsi="宋体"/>
          <w:sz w:val="24"/>
        </w:rPr>
      </w:pPr>
      <w:r>
        <w:rPr>
          <w:rFonts w:ascii="宋体" w:hAnsi="宋体"/>
          <w:sz w:val="24"/>
        </w:rPr>
        <w:t>公司的所有信息处理设备，只允许完成岗位相关的信息处理任务或工作。</w:t>
      </w:r>
    </w:p>
    <w:p>
      <w:pPr>
        <w:numPr>
          <w:ilvl w:val="0"/>
          <w:numId w:val="11"/>
        </w:numPr>
        <w:spacing w:line="360" w:lineRule="auto"/>
        <w:rPr>
          <w:rFonts w:ascii="宋体" w:hAnsi="宋体"/>
          <w:sz w:val="24"/>
        </w:rPr>
      </w:pPr>
      <w:r>
        <w:rPr>
          <w:rFonts w:ascii="宋体" w:hAnsi="宋体"/>
          <w:sz w:val="24"/>
        </w:rPr>
        <w:t>采用的加密技术必须符合国家相关法律的规定。</w:t>
      </w:r>
    </w:p>
    <w:p>
      <w:pPr>
        <w:numPr>
          <w:ilvl w:val="0"/>
          <w:numId w:val="11"/>
        </w:numPr>
        <w:spacing w:line="360" w:lineRule="auto"/>
        <w:rPr>
          <w:rFonts w:ascii="宋体" w:hAnsi="宋体"/>
          <w:sz w:val="24"/>
        </w:rPr>
      </w:pPr>
      <w:r>
        <w:rPr>
          <w:rFonts w:ascii="宋体" w:hAnsi="宋体"/>
          <w:sz w:val="24"/>
        </w:rPr>
        <w:t>每半年进行一次内审，以确保安全措施得到有效的实施和保持，符合已确定的信息安全要求。</w:t>
      </w:r>
    </w:p>
    <w:p>
      <w:pPr>
        <w:numPr>
          <w:ilvl w:val="0"/>
          <w:numId w:val="11"/>
        </w:numPr>
        <w:spacing w:line="360" w:lineRule="auto"/>
        <w:rPr>
          <w:rFonts w:ascii="宋体" w:hAnsi="宋体"/>
          <w:sz w:val="24"/>
        </w:rPr>
      </w:pPr>
      <w:r>
        <w:rPr>
          <w:rFonts w:ascii="宋体" w:hAnsi="宋体"/>
          <w:sz w:val="24"/>
        </w:rPr>
        <w:t>每半年进行一次技术符合性审查，确定信息系统是否符合安全实施标准，主要确定信息处理系统软硬件的控制措施得到实施，并保存审核的记录，对于不符合项必须给出纠正措施。</w:t>
      </w:r>
    </w:p>
    <w:p>
      <w:pPr>
        <w:numPr>
          <w:ilvl w:val="0"/>
          <w:numId w:val="11"/>
        </w:numPr>
        <w:spacing w:line="360" w:lineRule="auto"/>
        <w:rPr>
          <w:rFonts w:ascii="宋体" w:hAnsi="宋体"/>
          <w:sz w:val="24"/>
        </w:rPr>
      </w:pPr>
      <w:r>
        <w:rPr>
          <w:rFonts w:ascii="宋体" w:hAnsi="宋体"/>
          <w:sz w:val="24"/>
        </w:rPr>
        <w:t>严格按照制定的审核程序对信息系统进行审核，在审核前必须制定详细的计划，尽量减少对业务处理的影响。</w:t>
      </w:r>
    </w:p>
    <w:p>
      <w:pPr>
        <w:numPr>
          <w:ilvl w:val="0"/>
          <w:numId w:val="11"/>
        </w:numPr>
        <w:spacing w:line="360" w:lineRule="auto"/>
        <w:rPr>
          <w:rFonts w:ascii="宋体" w:hAnsi="宋体"/>
          <w:sz w:val="24"/>
        </w:rPr>
      </w:pPr>
      <w:r>
        <w:rPr>
          <w:rFonts w:ascii="宋体" w:hAnsi="宋体"/>
          <w:sz w:val="24"/>
        </w:rPr>
        <w:t>对审计工具需加以保护，在不使用审计工具时，应将工具和工具产生的审计数据从服务器彻底删除，将审计数据保存在特别保护的光盘中，防止任何可能利用工具及数据的滥用。</w:t>
      </w:r>
    </w:p>
    <w:p>
      <w:pPr>
        <w:pStyle w:val="2"/>
        <w:rPr>
          <w:rFonts w:ascii="宋体" w:eastAsia="宋体"/>
        </w:rPr>
      </w:pPr>
      <w:bookmarkStart w:id="20" w:name="_Toc368691879"/>
      <w:r>
        <w:rPr>
          <w:rFonts w:ascii="宋体" w:eastAsia="宋体"/>
        </w:rPr>
        <w:t>相关文件</w:t>
      </w:r>
      <w:bookmarkEnd w:id="20"/>
    </w:p>
    <w:p>
      <w:r>
        <w:rPr>
          <w:rFonts w:ascii="宋体" w:hAnsi="宋体"/>
          <w:sz w:val="24"/>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2D6E"/>
    <w:multiLevelType w:val="multilevel"/>
    <w:tmpl w:val="0A592D6E"/>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0D105AB8"/>
    <w:multiLevelType w:val="multilevel"/>
    <w:tmpl w:val="0D105AB8"/>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
    <w:nsid w:val="12767873"/>
    <w:multiLevelType w:val="multilevel"/>
    <w:tmpl w:val="12767873"/>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567"/>
        </w:tabs>
        <w:ind w:left="567" w:hanging="567"/>
      </w:pPr>
    </w:lvl>
    <w:lvl w:ilvl="2" w:tentative="0">
      <w:start w:val="1"/>
      <w:numFmt w:val="decimal"/>
      <w:pStyle w:val="4"/>
      <w:lvlText w:val="%1.%2.%3."/>
      <w:lvlJc w:val="left"/>
      <w:pPr>
        <w:tabs>
          <w:tab w:val="left" w:pos="709"/>
        </w:tabs>
        <w:ind w:left="709" w:hanging="709"/>
      </w:pPr>
      <w:rPr>
        <w:rFonts w:ascii="宋体" w:hAnsi="宋体" w:eastAsia="宋体"/>
      </w:rPr>
    </w:lvl>
    <w:lvl w:ilvl="3" w:tentative="0">
      <w:start w:val="1"/>
      <w:numFmt w:val="decimal"/>
      <w:pStyle w:val="5"/>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14BE01DC"/>
    <w:multiLevelType w:val="multilevel"/>
    <w:tmpl w:val="14BE01DC"/>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18813693"/>
    <w:multiLevelType w:val="multilevel"/>
    <w:tmpl w:val="18813693"/>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2B396B6D"/>
    <w:multiLevelType w:val="multilevel"/>
    <w:tmpl w:val="2B396B6D"/>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36AB7CA1"/>
    <w:multiLevelType w:val="multilevel"/>
    <w:tmpl w:val="36AB7CA1"/>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7">
    <w:nsid w:val="3E0B74C5"/>
    <w:multiLevelType w:val="multilevel"/>
    <w:tmpl w:val="3E0B74C5"/>
    <w:lvl w:ilvl="0" w:tentative="0">
      <w:start w:val="1"/>
      <w:numFmt w:val="decimal"/>
      <w:lvlText w:val="%1)"/>
      <w:lvlJc w:val="left"/>
      <w:pPr>
        <w:tabs>
          <w:tab w:val="left" w:pos="900"/>
        </w:tabs>
        <w:ind w:left="900" w:hanging="420"/>
      </w:pPr>
      <w:rPr>
        <w:rFonts w:ascii="宋体" w:hAnsi="宋体" w:eastAsia="宋体"/>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
    <w:nsid w:val="4B247ADD"/>
    <w:multiLevelType w:val="multilevel"/>
    <w:tmpl w:val="4B247ADD"/>
    <w:lvl w:ilvl="0" w:tentative="0">
      <w:start w:val="1"/>
      <w:numFmt w:val="decimal"/>
      <w:lvlText w:val="%1)"/>
      <w:lvlJc w:val="left"/>
      <w:pPr>
        <w:tabs>
          <w:tab w:val="left" w:pos="840"/>
        </w:tabs>
        <w:ind w:left="840" w:hanging="420"/>
      </w:pPr>
      <w:rPr>
        <w:rFonts w:hint="default"/>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6081064F"/>
    <w:multiLevelType w:val="multilevel"/>
    <w:tmpl w:val="6081064F"/>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0">
    <w:nsid w:val="6EDD6A28"/>
    <w:multiLevelType w:val="multilevel"/>
    <w:tmpl w:val="6EDD6A28"/>
    <w:lvl w:ilvl="0" w:tentative="0">
      <w:start w:val="1"/>
      <w:numFmt w:val="decimal"/>
      <w:lvlText w:val="%1)"/>
      <w:lvlJc w:val="left"/>
      <w:pPr>
        <w:tabs>
          <w:tab w:val="left" w:pos="900"/>
        </w:tabs>
        <w:ind w:left="900" w:hanging="420"/>
      </w:pPr>
      <w:rPr>
        <w:rFonts w:ascii="宋体" w:hAnsi="宋体" w:eastAsia="宋体"/>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2"/>
  </w:num>
  <w:num w:numId="2">
    <w:abstractNumId w:val="8"/>
  </w:num>
  <w:num w:numId="3">
    <w:abstractNumId w:val="3"/>
  </w:num>
  <w:num w:numId="4">
    <w:abstractNumId w:val="7"/>
  </w:num>
  <w:num w:numId="5">
    <w:abstractNumId w:val="10"/>
  </w:num>
  <w:num w:numId="6">
    <w:abstractNumId w:val="1"/>
  </w:num>
  <w:num w:numId="7">
    <w:abstractNumId w:val="0"/>
  </w:num>
  <w:num w:numId="8">
    <w:abstractNumId w:val="5"/>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95"/>
    <w:rsid w:val="001F1741"/>
    <w:rsid w:val="00301AE4"/>
    <w:rsid w:val="006730E8"/>
    <w:rsid w:val="00747A3E"/>
    <w:rsid w:val="00894669"/>
    <w:rsid w:val="00FD7095"/>
    <w:rsid w:val="7EF5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numPr>
        <w:ilvl w:val="0"/>
        <w:numId w:val="1"/>
      </w:numPr>
      <w:spacing w:before="340" w:after="330" w:line="576" w:lineRule="auto"/>
      <w:outlineLvl w:val="0"/>
    </w:pPr>
    <w:rPr>
      <w:rFonts w:ascii="仿宋_GB2312" w:hAnsi="宋体" w:eastAsia="仿宋_GB2312"/>
      <w:b/>
      <w:bCs/>
      <w:kern w:val="44"/>
      <w:sz w:val="44"/>
      <w:szCs w:val="44"/>
    </w:rPr>
  </w:style>
  <w:style w:type="paragraph" w:styleId="3">
    <w:name w:val="heading 2"/>
    <w:basedOn w:val="1"/>
    <w:next w:val="1"/>
    <w:link w:val="13"/>
    <w:qFormat/>
    <w:uiPriority w:val="0"/>
    <w:pPr>
      <w:keepNext/>
      <w:keepLines/>
      <w:numPr>
        <w:ilvl w:val="1"/>
        <w:numId w:val="1"/>
      </w:numPr>
      <w:spacing w:before="260" w:after="260" w:line="360" w:lineRule="auto"/>
      <w:outlineLvl w:val="1"/>
    </w:pPr>
    <w:rPr>
      <w:rFonts w:ascii="仿宋_GB2312" w:hAnsi="Arial" w:eastAsia="仿宋_GB2312"/>
      <w:b/>
      <w:bCs/>
      <w:sz w:val="32"/>
      <w:szCs w:val="32"/>
    </w:rPr>
  </w:style>
  <w:style w:type="paragraph" w:styleId="4">
    <w:name w:val="heading 3"/>
    <w:basedOn w:val="1"/>
    <w:next w:val="1"/>
    <w:link w:val="14"/>
    <w:qFormat/>
    <w:uiPriority w:val="0"/>
    <w:pPr>
      <w:keepNext/>
      <w:keepLines/>
      <w:numPr>
        <w:ilvl w:val="2"/>
        <w:numId w:val="1"/>
      </w:numPr>
      <w:tabs>
        <w:tab w:val="left" w:pos="0"/>
        <w:tab w:val="clear" w:pos="709"/>
      </w:tabs>
      <w:spacing w:before="260" w:after="260" w:line="360" w:lineRule="auto"/>
      <w:ind w:left="0" w:firstLine="0"/>
      <w:outlineLvl w:val="2"/>
    </w:pPr>
    <w:rPr>
      <w:b/>
      <w:bCs/>
      <w:sz w:val="24"/>
    </w:rPr>
  </w:style>
  <w:style w:type="paragraph" w:styleId="5">
    <w:name w:val="heading 4"/>
    <w:basedOn w:val="1"/>
    <w:next w:val="1"/>
    <w:link w:val="15"/>
    <w:qFormat/>
    <w:uiPriority w:val="0"/>
    <w:pPr>
      <w:keepNext/>
      <w:keepLines/>
      <w:numPr>
        <w:ilvl w:val="3"/>
        <w:numId w:val="1"/>
      </w:numPr>
      <w:tabs>
        <w:tab w:val="left" w:pos="0"/>
        <w:tab w:val="clear" w:pos="851"/>
      </w:tabs>
      <w:spacing w:before="120" w:after="120" w:line="360" w:lineRule="auto"/>
      <w:ind w:left="0" w:firstLine="0"/>
      <w:outlineLvl w:val="3"/>
    </w:pPr>
    <w:rPr>
      <w:rFonts w:ascii="Arial" w:hAnsi="Arial"/>
      <w:b/>
      <w:sz w:val="28"/>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字符"/>
    <w:basedOn w:val="8"/>
    <w:link w:val="7"/>
    <w:qFormat/>
    <w:uiPriority w:val="99"/>
    <w:rPr>
      <w:sz w:val="18"/>
      <w:szCs w:val="18"/>
    </w:rPr>
  </w:style>
  <w:style w:type="character" w:customStyle="1" w:styleId="11">
    <w:name w:val="页脚 字符"/>
    <w:basedOn w:val="8"/>
    <w:link w:val="6"/>
    <w:qFormat/>
    <w:uiPriority w:val="99"/>
    <w:rPr>
      <w:sz w:val="18"/>
      <w:szCs w:val="18"/>
    </w:rPr>
  </w:style>
  <w:style w:type="character" w:customStyle="1" w:styleId="12">
    <w:name w:val="标题 1 字符"/>
    <w:basedOn w:val="8"/>
    <w:link w:val="2"/>
    <w:qFormat/>
    <w:uiPriority w:val="0"/>
    <w:rPr>
      <w:rFonts w:ascii="仿宋_GB2312" w:hAnsi="宋体" w:eastAsia="仿宋_GB2312" w:cs="Times New Roman"/>
      <w:b/>
      <w:bCs/>
      <w:kern w:val="44"/>
      <w:sz w:val="44"/>
      <w:szCs w:val="44"/>
    </w:rPr>
  </w:style>
  <w:style w:type="character" w:customStyle="1" w:styleId="13">
    <w:name w:val="标题 2 字符"/>
    <w:basedOn w:val="8"/>
    <w:link w:val="3"/>
    <w:qFormat/>
    <w:uiPriority w:val="0"/>
    <w:rPr>
      <w:rFonts w:ascii="仿宋_GB2312" w:hAnsi="Arial" w:eastAsia="仿宋_GB2312" w:cs="Times New Roman"/>
      <w:b/>
      <w:bCs/>
      <w:sz w:val="32"/>
      <w:szCs w:val="32"/>
    </w:rPr>
  </w:style>
  <w:style w:type="character" w:customStyle="1" w:styleId="14">
    <w:name w:val="标题 3 字符"/>
    <w:basedOn w:val="8"/>
    <w:link w:val="4"/>
    <w:qFormat/>
    <w:uiPriority w:val="0"/>
    <w:rPr>
      <w:rFonts w:ascii="Times New Roman" w:hAnsi="Times New Roman" w:eastAsia="宋体" w:cs="Times New Roman"/>
      <w:b/>
      <w:bCs/>
      <w:sz w:val="24"/>
      <w:szCs w:val="24"/>
    </w:rPr>
  </w:style>
  <w:style w:type="character" w:customStyle="1" w:styleId="15">
    <w:name w:val="标题 4 字符"/>
    <w:basedOn w:val="8"/>
    <w:link w:val="5"/>
    <w:qFormat/>
    <w:uiPriority w:val="0"/>
    <w:rPr>
      <w:rFonts w:ascii="Arial" w:hAnsi="Arial" w:eastAsia="宋体" w:cs="Times New Roman"/>
      <w:b/>
      <w:sz w:val="28"/>
      <w:szCs w:val="28"/>
    </w:rPr>
  </w:style>
  <w:style w:type="paragraph" w:customStyle="1" w:styleId="16">
    <w:name w:val="小四1.5 倍行距"/>
    <w:basedOn w:val="1"/>
    <w:qFormat/>
    <w:uiPriority w:val="0"/>
    <w:pPr>
      <w:spacing w:line="360" w:lineRule="auto"/>
      <w:ind w:firstLine="480" w:firstLineChars="200"/>
    </w:pPr>
    <w:rPr>
      <w:rFonts w:ascii="宋体" w:hAnsi="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1407</Words>
  <Characters>8025</Characters>
  <Lines>66</Lines>
  <Paragraphs>18</Paragraphs>
  <TotalTime>0</TotalTime>
  <ScaleCrop>false</ScaleCrop>
  <LinksUpToDate>false</LinksUpToDate>
  <CharactersWithSpaces>9414</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2017-03-19T08:23:00Z</dcterms:created>
  <dc:creator>Yolkok</dc:creator>
  <cp:lastModifiedBy>Administrator</cp:lastModifiedBy>
  <dcterms:modified xsi:type="dcterms:W3CDTF">2017-11-23T03:01:17Z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