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——外部人员访问管理制度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-3-02</w:t>
      </w:r>
    </w:p>
    <w:p>
      <w:pPr>
        <w:ind w:left="1978" w:leftChars="942"/>
        <w:rPr>
          <w:rFonts w:asciiTheme="minorEastAsia" w:hAnsiTheme="minorEastAsia" w:eastAsiaTheme="minorEastAsia"/>
          <w:b/>
          <w:bCs/>
          <w:sz w:val="32"/>
          <w:szCs w:val="32"/>
        </w:rPr>
      </w:pPr>
      <w:bookmarkStart w:id="2" w:name="_Toc186516936"/>
      <w:bookmarkStart w:id="3" w:name="_Toc186526453"/>
      <w:r>
        <w:rPr>
          <w:rFonts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5"/>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外部人员访问管理制度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3</w:t>
            </w:r>
            <w:r>
              <w:rPr>
                <w:rFonts w:hint="eastAsia" w:asciiTheme="minorEastAsia" w:hAnsiTheme="minorEastAsia" w:eastAsiaTheme="minorEastAsia"/>
                <w:szCs w:val="21"/>
              </w:rPr>
              <w:t>-</w:t>
            </w:r>
            <w:r>
              <w:rPr>
                <w:rFonts w:asciiTheme="minorEastAsia" w:hAnsiTheme="minorEastAsia" w:eastAsiaTheme="minorEastAsia"/>
                <w:szCs w:val="21"/>
              </w:rPr>
              <w:t>02</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pStyle w:val="9"/>
        <w:rPr>
          <w:b w:val="0"/>
        </w:rPr>
      </w:pPr>
      <w:r>
        <w:rPr>
          <w:rFonts w:hint="eastAsia"/>
          <w:b w:val="0"/>
        </w:rPr>
        <w:t>总   则</w:t>
      </w:r>
    </w:p>
    <w:p>
      <w:pPr>
        <w:pStyle w:val="10"/>
        <w:ind w:left="284" w:firstLine="0"/>
      </w:pPr>
      <w:r>
        <w:rPr>
          <w:rFonts w:hint="eastAsia"/>
        </w:rPr>
        <w:t>为加强对外部人员在</w:t>
      </w:r>
      <w:r>
        <w:rPr>
          <w:rFonts w:hint="eastAsia"/>
          <w:lang w:eastAsia="zh-CN"/>
        </w:rPr>
        <w:t>北京汇聚融达网络科技</w:t>
      </w:r>
      <w:r>
        <w:rPr>
          <w:rFonts w:hint="eastAsia"/>
        </w:rPr>
        <w:t>有限公司（以下简称“公司”）的信息安全管理，防范外部人员带来的信息安全风险，规范外部人员在公司各项与信息系统相关的活动所要遵守的行为准则，特制定本办法。</w:t>
      </w:r>
    </w:p>
    <w:p>
      <w:pPr>
        <w:pStyle w:val="10"/>
        <w:ind w:left="284" w:firstLine="0"/>
      </w:pPr>
      <w:r>
        <w:rPr>
          <w:rFonts w:hint="eastAsia"/>
        </w:rPr>
        <w:t>本办法所述的外部人员是指非公司内部员工，包括软件开发商、产品供应商、系统集成商、设备维护商、服务提供商、业务合作单位、临时雇工、实习生等外来人员，外部人员分为临时外部人员和非临时外部人员。</w:t>
      </w:r>
      <w:bookmarkStart w:id="6" w:name="_GoBack"/>
      <w:bookmarkEnd w:id="6"/>
    </w:p>
    <w:p>
      <w:pPr>
        <w:pStyle w:val="13"/>
      </w:pPr>
      <w:r>
        <w:rPr>
          <w:rFonts w:hint="eastAsia"/>
        </w:rPr>
        <w:t>临时外部人员指因业务洽谈、技术交流、提供短期和不频繁的技术支持服务而临时来访的外部人员；</w:t>
      </w:r>
    </w:p>
    <w:p>
      <w:pPr>
        <w:pStyle w:val="13"/>
      </w:pPr>
      <w:r>
        <w:rPr>
          <w:rFonts w:hint="eastAsia"/>
        </w:rPr>
        <w:t>非临时外部人员指因从事合作开发、参与项目工程、提供技术支持或顾问服务，必须在相关单位办公的外部人员。</w:t>
      </w:r>
    </w:p>
    <w:p>
      <w:pPr>
        <w:pStyle w:val="10"/>
      </w:pPr>
      <w:r>
        <w:rPr>
          <w:rFonts w:hint="eastAsia"/>
        </w:rPr>
        <w:t>本办法适用于公司。</w:t>
      </w:r>
    </w:p>
    <w:p>
      <w:pPr>
        <w:pStyle w:val="9"/>
        <w:rPr>
          <w:b w:val="0"/>
        </w:rPr>
      </w:pPr>
      <w:r>
        <w:rPr>
          <w:rFonts w:hint="eastAsia"/>
          <w:b w:val="0"/>
        </w:rPr>
        <w:t>外部人员风险识别</w:t>
      </w:r>
    </w:p>
    <w:p>
      <w:pPr>
        <w:pStyle w:val="10"/>
        <w:ind w:left="284" w:firstLine="0"/>
      </w:pPr>
      <w:r>
        <w:rPr>
          <w:rFonts w:hint="eastAsia"/>
        </w:rPr>
        <w:t>各部门在与第三方进行接触过程中，应防范外部人员对于公司可能带来的各类信息安全风险，这些风险包括但不限于如下内容：</w:t>
      </w:r>
    </w:p>
    <w:p>
      <w:pPr>
        <w:pStyle w:val="13"/>
        <w:numPr>
          <w:ilvl w:val="2"/>
          <w:numId w:val="4"/>
        </w:numPr>
      </w:pPr>
      <w:r>
        <w:rPr>
          <w:rFonts w:hint="eastAsia"/>
        </w:rPr>
        <w:t>外部人员的物理访问带来的设备、资料盗窃；</w:t>
      </w:r>
    </w:p>
    <w:p>
      <w:pPr>
        <w:pStyle w:val="13"/>
        <w:numPr>
          <w:ilvl w:val="2"/>
          <w:numId w:val="4"/>
        </w:numPr>
      </w:pPr>
      <w:r>
        <w:rPr>
          <w:rFonts w:hint="eastAsia"/>
        </w:rPr>
        <w:t>外部人员的误操作导致各种软硬件故障；</w:t>
      </w:r>
    </w:p>
    <w:p>
      <w:pPr>
        <w:pStyle w:val="13"/>
        <w:numPr>
          <w:ilvl w:val="2"/>
          <w:numId w:val="4"/>
        </w:numPr>
      </w:pPr>
      <w:r>
        <w:rPr>
          <w:rFonts w:hint="eastAsia"/>
        </w:rPr>
        <w:t>外部人员对资料、信息管理不当导致泄密；</w:t>
      </w:r>
    </w:p>
    <w:p>
      <w:pPr>
        <w:pStyle w:val="13"/>
        <w:numPr>
          <w:ilvl w:val="2"/>
          <w:numId w:val="4"/>
        </w:numPr>
      </w:pPr>
      <w:r>
        <w:rPr>
          <w:rFonts w:hint="eastAsia"/>
        </w:rPr>
        <w:t>外部人员对计算机系统的滥用和越权访问；</w:t>
      </w:r>
    </w:p>
    <w:p>
      <w:pPr>
        <w:pStyle w:val="13"/>
        <w:numPr>
          <w:ilvl w:val="2"/>
          <w:numId w:val="4"/>
        </w:numPr>
      </w:pPr>
      <w:r>
        <w:rPr>
          <w:rFonts w:hint="eastAsia"/>
        </w:rPr>
        <w:t>外部人员给计算机系统、软件留下后门；</w:t>
      </w:r>
    </w:p>
    <w:p>
      <w:pPr>
        <w:pStyle w:val="13"/>
        <w:numPr>
          <w:ilvl w:val="2"/>
          <w:numId w:val="4"/>
        </w:numPr>
      </w:pPr>
      <w:r>
        <w:rPr>
          <w:rFonts w:hint="eastAsia"/>
        </w:rPr>
        <w:t>外部人员对计算机系统的恶意攻击。</w:t>
      </w:r>
    </w:p>
    <w:p>
      <w:pPr>
        <w:pStyle w:val="10"/>
        <w:ind w:left="284" w:firstLine="0"/>
      </w:pPr>
      <w:r>
        <w:rPr>
          <w:rFonts w:hint="eastAsia"/>
        </w:rPr>
        <w:t>接待部门应对外部人员进出接待区域的物理和信息风险进行识别和防范；关键区域的进出应填写《联合伟业卫星定位监控平台信息咨询有限公司外部人员访问申请表》，经部门负责人签字确认后， 由内部人员的全程陪同，方可进入。</w:t>
      </w:r>
    </w:p>
    <w:p>
      <w:pPr>
        <w:pStyle w:val="10"/>
        <w:ind w:left="284" w:firstLine="0"/>
      </w:pPr>
      <w:r>
        <w:rPr>
          <w:rFonts w:hint="eastAsia"/>
        </w:rPr>
        <w:t>涉及公司业务合作的外部人员风险识别由各业务合作部门负责管理，各部门应正确、合理识别各类业务信息的关键程度和保密程度，根据外部人员或项目保密协议严格控制，依照“按需访问”的原则对公司信息进行安全管理。</w:t>
      </w:r>
    </w:p>
    <w:p>
      <w:pPr>
        <w:pStyle w:val="9"/>
        <w:rPr>
          <w:b w:val="0"/>
        </w:rPr>
      </w:pPr>
      <w:r>
        <w:rPr>
          <w:rFonts w:hint="eastAsia"/>
          <w:b w:val="0"/>
        </w:rPr>
        <w:t>基本安全管理</w:t>
      </w:r>
    </w:p>
    <w:p>
      <w:pPr>
        <w:pStyle w:val="10"/>
        <w:ind w:left="284" w:firstLine="0"/>
      </w:pPr>
      <w:r>
        <w:rPr>
          <w:rFonts w:hint="eastAsia"/>
        </w:rPr>
        <w:t>在未经公司相关部门负责人的审核审批的情况下，禁止外部人员了解和查阅公司的敏感、重要和商业秘密信息。</w:t>
      </w:r>
    </w:p>
    <w:p>
      <w:pPr>
        <w:pStyle w:val="10"/>
        <w:ind w:left="284" w:firstLine="0"/>
      </w:pPr>
      <w:r>
        <w:rPr>
          <w:rFonts w:hint="eastAsia"/>
        </w:rPr>
        <w:t>外部人员如因业务需要查阅公司敏感资料或访问公司网络和信息系统资源，必须经过相关部门负责人批准并详细登记，须与公司签署有效的《 联合伟业卫星定位监控平台信息咨询有限公司外部人员保密协议》。</w:t>
      </w:r>
    </w:p>
    <w:p>
      <w:pPr>
        <w:pStyle w:val="10"/>
        <w:ind w:left="284" w:firstLine="0"/>
      </w:pPr>
      <w:r>
        <w:rPr>
          <w:rFonts w:hint="eastAsia"/>
        </w:rPr>
        <w:t>未经相关部门负责人的许可，外部人员不得在办公区域、设备间、机房等关键区域摄影、拍照。</w:t>
      </w:r>
    </w:p>
    <w:p>
      <w:pPr>
        <w:pStyle w:val="9"/>
        <w:rPr>
          <w:b w:val="0"/>
        </w:rPr>
      </w:pPr>
      <w:r>
        <w:rPr>
          <w:rFonts w:hint="eastAsia"/>
          <w:b w:val="0"/>
        </w:rPr>
        <w:t>外部人员物理访问控制</w:t>
      </w:r>
    </w:p>
    <w:p>
      <w:pPr>
        <w:pStyle w:val="10"/>
        <w:ind w:left="284" w:firstLine="0"/>
      </w:pPr>
      <w:r>
        <w:rPr>
          <w:rFonts w:hint="eastAsia"/>
        </w:rPr>
        <w:t xml:space="preserve"> 外部人员进出公司时，遵守信息安全工作组相关管理规定《公司办公环境信息安全管理办法》， 接待人必须全程陪同临时外部人员，告知有关安全管理办法。</w:t>
      </w:r>
    </w:p>
    <w:p>
      <w:pPr>
        <w:pStyle w:val="10"/>
        <w:ind w:left="284" w:firstLine="0"/>
      </w:pPr>
      <w:r>
        <w:rPr>
          <w:rFonts w:hint="eastAsia"/>
        </w:rPr>
        <w:t xml:space="preserve"> 业务洽谈和技术交流应当在接待室、会议室或培训教室内进行，招标、谈判等正式洽谈和重大项目的会谈应当在专门的会议室进行，不得在办公区域内进行。</w:t>
      </w:r>
    </w:p>
    <w:p>
      <w:pPr>
        <w:pStyle w:val="10"/>
      </w:pPr>
      <w:r>
        <w:rPr>
          <w:rFonts w:hint="eastAsia"/>
        </w:rPr>
        <w:t xml:space="preserve"> 外部人员进入机房、设备间等重要区域时，应遵从《公司机房环境安全管理办法》等相关办法。</w:t>
      </w:r>
    </w:p>
    <w:p>
      <w:pPr>
        <w:pStyle w:val="9"/>
        <w:rPr>
          <w:b w:val="0"/>
        </w:rPr>
      </w:pPr>
      <w:r>
        <w:rPr>
          <w:rFonts w:hint="eastAsia"/>
          <w:b w:val="0"/>
        </w:rPr>
        <w:t>外部人员信息系统使用控制</w:t>
      </w:r>
    </w:p>
    <w:p>
      <w:pPr>
        <w:pStyle w:val="10"/>
        <w:ind w:left="284" w:firstLine="0"/>
      </w:pPr>
      <w:r>
        <w:rPr>
          <w:rFonts w:hint="eastAsia"/>
        </w:rPr>
        <w:t xml:space="preserve"> 未经允许，禁止外部人员携带的电脑接入公司网络，如因工作需要访问公司网络和信息系统资源，必须填写《联合伟业卫星定位监控平台信息咨询有限公司临时接入网络申请表》，由接待人负责向信息安全工作组申请，并使用指定的设备。</w:t>
      </w:r>
    </w:p>
    <w:p>
      <w:pPr>
        <w:pStyle w:val="10"/>
        <w:ind w:left="284" w:firstLine="0"/>
      </w:pPr>
      <w:r>
        <w:rPr>
          <w:rFonts w:hint="eastAsia"/>
        </w:rPr>
        <w:t xml:space="preserve"> 未经允许，禁止外部人员远程访问公司网络。如确因工作需要（例如维护、故障处理）需要远程访问，必须由远程接入业务的需求部门填写《联合伟业卫星定位监控平台信息咨询有限公司临时接入公司网络申请表》，经部门负责人审批，报信息安全工作组领导批准。</w:t>
      </w:r>
    </w:p>
    <w:p>
      <w:pPr>
        <w:pStyle w:val="10"/>
        <w:ind w:left="284" w:firstLine="0"/>
      </w:pPr>
      <w:r>
        <w:rPr>
          <w:rFonts w:hint="eastAsia"/>
        </w:rPr>
        <w:t xml:space="preserve"> 外部人员在机房内的所有操作，都必需说明该操作可能引起的安全风险，并由接待人认可后才能操作。接待人必须对外部人员的操作进行全程监控，参照《公司机房环境安全管理办法》中的相关附件，记录外部人员的操作内容并存档备案。</w:t>
      </w:r>
    </w:p>
    <w:p>
      <w:pPr>
        <w:pStyle w:val="10"/>
        <w:ind w:left="284" w:firstLine="0"/>
      </w:pPr>
      <w:r>
        <w:rPr>
          <w:rFonts w:hint="eastAsia"/>
        </w:rPr>
        <w:t xml:space="preserve"> 更换机器硬件的操作需向接待人指出硬件损坏的证据，由接待人员上报信息安全工作组批准，将机器上的应用切换到其它机器上后，方可进行更换，并参照《公司机房环境安全管理办法》中的附件记录并存档。</w:t>
      </w:r>
    </w:p>
    <w:p>
      <w:pPr>
        <w:pStyle w:val="10"/>
        <w:ind w:left="284" w:firstLine="0"/>
      </w:pPr>
      <w:r>
        <w:rPr>
          <w:rFonts w:hint="eastAsia"/>
        </w:rPr>
        <w:t xml:space="preserve"> 外部人员对机房附属设备（如空调、UPS等）的维护和保养，事先要由接待人员上报信息安全工作组领导批准后选择合适的时间进行，确保操作不影响公司系统的正常运行，并参照《公司机房环境安全管理办法》中的附件记录并存档。</w:t>
      </w:r>
    </w:p>
    <w:p>
      <w:pPr>
        <w:pStyle w:val="10"/>
        <w:ind w:left="284" w:firstLine="0"/>
      </w:pPr>
      <w:r>
        <w:rPr>
          <w:rFonts w:hint="eastAsia"/>
        </w:rPr>
        <w:t xml:space="preserve"> 未经信息安全工作组批准，禁止外部人员携带移动存储介质进入机房。</w:t>
      </w:r>
    </w:p>
    <w:p>
      <w:pPr>
        <w:pStyle w:val="10"/>
        <w:ind w:left="284" w:firstLine="0"/>
        <w:rPr>
          <w:sz w:val="21"/>
          <w:szCs w:val="21"/>
        </w:rPr>
      </w:pPr>
      <w:r>
        <w:rPr>
          <w:rFonts w:hint="eastAsia"/>
        </w:rPr>
        <w:t>外部人员如因工作需要使用移动存储介质，必须在接待人的监控下使用，由此而产生的安全风险由接待人承担。</w:t>
      </w:r>
    </w:p>
    <w:p>
      <w:pPr>
        <w:pStyle w:val="9"/>
        <w:rPr>
          <w:b w:val="0"/>
        </w:rPr>
      </w:pPr>
      <w:r>
        <w:rPr>
          <w:rFonts w:hint="eastAsia"/>
          <w:b w:val="0"/>
        </w:rPr>
        <w:t>附则</w:t>
      </w:r>
    </w:p>
    <w:p>
      <w:pPr>
        <w:pStyle w:val="10"/>
      </w:pPr>
      <w:r>
        <w:rPr>
          <w:rFonts w:hint="eastAsia"/>
        </w:rPr>
        <w:t>本办法由公司信息安全工作组制定，并负责解释和修订。</w:t>
      </w:r>
    </w:p>
    <w:p>
      <w:pPr>
        <w:pStyle w:val="10"/>
        <w:rPr>
          <w:rFonts w:hint="eastAsia"/>
        </w:rPr>
      </w:pPr>
      <w:r>
        <w:rPr>
          <w:rFonts w:hint="eastAsia"/>
        </w:rPr>
        <w:t>本办法自发布之日起执行。</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chineseCountingThousand"/>
      <w:lvlText w:val="第%1条"/>
      <w:lvlJc w:val="left"/>
      <w:pPr>
        <w:tabs>
          <w:tab w:val="left" w:pos="851"/>
        </w:tabs>
        <w:ind w:left="567" w:hanging="283"/>
      </w:pPr>
      <w:rPr>
        <w:rFonts w:hint="eastAsia" w:ascii="宋体" w:hAnsi="宋体" w:eastAsia="宋体"/>
        <w:b w:val="0"/>
        <w:i w:val="0"/>
        <w:sz w:val="28"/>
        <w:szCs w:val="28"/>
      </w:rPr>
    </w:lvl>
    <w:lvl w:ilvl="1" w:tentative="0">
      <w:start w:val="1"/>
      <w:numFmt w:val="decimal"/>
      <w:suff w:val="space"/>
      <w:lvlText w:val="第%2节"/>
      <w:lvlJc w:val="left"/>
      <w:pPr>
        <w:ind w:left="425" w:hanging="425"/>
      </w:pPr>
      <w:rPr>
        <w:rFonts w:hint="eastAsia"/>
      </w:rPr>
    </w:lvl>
    <w:lvl w:ilvl="2" w:tentative="0">
      <w:start w:val="1"/>
      <w:numFmt w:val="decimal"/>
      <w:suff w:val="space"/>
      <w:lvlText w:val="%2.%3"/>
      <w:lvlJc w:val="left"/>
      <w:pPr>
        <w:ind w:left="425" w:hanging="425"/>
      </w:pPr>
      <w:rPr>
        <w:rFonts w:hint="eastAsia"/>
      </w:rPr>
    </w:lvl>
    <w:lvl w:ilvl="3" w:tentative="0">
      <w:start w:val="1"/>
      <w:numFmt w:val="decimal"/>
      <w:suff w:val="space"/>
      <w:lvlText w:val="%2.%3.%4"/>
      <w:lvlJc w:val="left"/>
      <w:pPr>
        <w:ind w:left="425" w:hanging="425"/>
      </w:pPr>
      <w:rPr>
        <w:rFonts w:hint="eastAsia"/>
      </w:rPr>
    </w:lvl>
    <w:lvl w:ilvl="4" w:tentative="0">
      <w:start w:val="1"/>
      <w:numFmt w:val="decimal"/>
      <w:suff w:val="space"/>
      <w:lvlText w:val="%2.%3.%4.%5"/>
      <w:lvlJc w:val="left"/>
      <w:pPr>
        <w:ind w:left="425" w:hanging="425"/>
      </w:pPr>
      <w:rPr>
        <w:rFonts w:hint="eastAsia"/>
      </w:rPr>
    </w:lvl>
    <w:lvl w:ilvl="5" w:tentative="0">
      <w:start w:val="1"/>
      <w:numFmt w:val="decimal"/>
      <w:suff w:val="space"/>
      <w:lvlText w:val="%2.%3.%4.%5.%6"/>
      <w:lvlJc w:val="left"/>
      <w:pPr>
        <w:ind w:left="425" w:hanging="425"/>
      </w:pPr>
      <w:rPr>
        <w:rFonts w:hint="eastAsia"/>
      </w:rPr>
    </w:lvl>
    <w:lvl w:ilvl="6" w:tentative="0">
      <w:start w:val="1"/>
      <w:numFmt w:val="decimal"/>
      <w:suff w:val="space"/>
      <w:lvlText w:val="%2.%3.%4.%5.%6.%7"/>
      <w:lvlJc w:val="left"/>
      <w:pPr>
        <w:ind w:left="425" w:hanging="425"/>
      </w:pPr>
      <w:rPr>
        <w:rFonts w:hint="eastAsia"/>
      </w:rPr>
    </w:lvl>
    <w:lvl w:ilvl="7" w:tentative="0">
      <w:start w:val="1"/>
      <w:numFmt w:val="decimal"/>
      <w:suff w:val="space"/>
      <w:lvlText w:val="%2.%3.%4.%5.%6.%7.%8"/>
      <w:lvlJc w:val="left"/>
      <w:pPr>
        <w:ind w:left="425" w:hanging="425"/>
      </w:pPr>
      <w:rPr>
        <w:rFonts w:hint="eastAsia"/>
      </w:rPr>
    </w:lvl>
    <w:lvl w:ilvl="8" w:tentative="0">
      <w:start w:val="1"/>
      <w:numFmt w:val="decimal"/>
      <w:suff w:val="space"/>
      <w:lvlText w:val="%2.%3.%4.%5.%6.%7.%8.%9"/>
      <w:lvlJc w:val="left"/>
      <w:pPr>
        <w:ind w:left="425" w:hanging="425"/>
      </w:pPr>
      <w:rPr>
        <w:rFonts w:hint="eastAsia"/>
      </w:rPr>
    </w:lvl>
  </w:abstractNum>
  <w:abstractNum w:abstractNumId="1">
    <w:nsid w:val="00000010"/>
    <w:multiLevelType w:val="multilevel"/>
    <w:tmpl w:val="00000010"/>
    <w:lvl w:ilvl="0" w:tentative="0">
      <w:start w:val="1"/>
      <w:numFmt w:val="chineseCountingThousand"/>
      <w:pStyle w:val="8"/>
      <w:suff w:val="space"/>
      <w:lvlText w:val="第%1章"/>
      <w:lvlJc w:val="center"/>
      <w:pPr>
        <w:ind w:left="4820" w:hanging="4820"/>
      </w:pPr>
      <w:rPr>
        <w:rFonts w:hint="eastAsia" w:ascii="黑体" w:hAnsi="黑体" w:eastAsia="黑体"/>
        <w:color w:val="auto"/>
        <w:sz w:val="28"/>
        <w:szCs w:val="28"/>
        <w:lang w:val="en-US"/>
      </w:rPr>
    </w:lvl>
    <w:lvl w:ilvl="1" w:tentative="0">
      <w:start w:val="1"/>
      <w:numFmt w:val="decimal"/>
      <w:suff w:val="space"/>
      <w:lvlText w:val="第%2节"/>
      <w:lvlJc w:val="left"/>
      <w:pPr>
        <w:ind w:left="993" w:hanging="425"/>
      </w:pPr>
      <w:rPr>
        <w:rFonts w:hint="eastAsia"/>
      </w:rPr>
    </w:lvl>
    <w:lvl w:ilvl="2" w:tentative="0">
      <w:start w:val="1"/>
      <w:numFmt w:val="decimal"/>
      <w:suff w:val="space"/>
      <w:lvlText w:val="%2.%3"/>
      <w:lvlJc w:val="left"/>
      <w:pPr>
        <w:ind w:left="993" w:hanging="425"/>
      </w:pPr>
      <w:rPr>
        <w:rFonts w:hint="eastAsia"/>
      </w:rPr>
    </w:lvl>
    <w:lvl w:ilvl="3" w:tentative="0">
      <w:start w:val="1"/>
      <w:numFmt w:val="decimal"/>
      <w:suff w:val="space"/>
      <w:lvlText w:val="%2.%3.%4"/>
      <w:lvlJc w:val="left"/>
      <w:pPr>
        <w:ind w:left="993" w:hanging="425"/>
      </w:pPr>
      <w:rPr>
        <w:rFonts w:hint="eastAsia"/>
      </w:rPr>
    </w:lvl>
    <w:lvl w:ilvl="4" w:tentative="0">
      <w:start w:val="1"/>
      <w:numFmt w:val="decimal"/>
      <w:suff w:val="space"/>
      <w:lvlText w:val="%2.%3.%4.%5"/>
      <w:lvlJc w:val="left"/>
      <w:pPr>
        <w:ind w:left="993" w:hanging="425"/>
      </w:pPr>
      <w:rPr>
        <w:rFonts w:hint="eastAsia"/>
      </w:rPr>
    </w:lvl>
    <w:lvl w:ilvl="5" w:tentative="0">
      <w:start w:val="1"/>
      <w:numFmt w:val="decimal"/>
      <w:suff w:val="space"/>
      <w:lvlText w:val="%2.%3.%4.%5.%6"/>
      <w:lvlJc w:val="left"/>
      <w:pPr>
        <w:ind w:left="993" w:hanging="425"/>
      </w:pPr>
      <w:rPr>
        <w:rFonts w:hint="eastAsia"/>
      </w:rPr>
    </w:lvl>
    <w:lvl w:ilvl="6" w:tentative="0">
      <w:start w:val="1"/>
      <w:numFmt w:val="decimal"/>
      <w:suff w:val="space"/>
      <w:lvlText w:val="%2.%3.%4.%5.%6.%7"/>
      <w:lvlJc w:val="left"/>
      <w:pPr>
        <w:ind w:left="993" w:hanging="425"/>
      </w:pPr>
      <w:rPr>
        <w:rFonts w:hint="eastAsia"/>
      </w:rPr>
    </w:lvl>
    <w:lvl w:ilvl="7" w:tentative="0">
      <w:start w:val="1"/>
      <w:numFmt w:val="decimal"/>
      <w:suff w:val="space"/>
      <w:lvlText w:val="%2.%3.%4.%5.%6.%7.%8"/>
      <w:lvlJc w:val="left"/>
      <w:pPr>
        <w:ind w:left="993" w:hanging="425"/>
      </w:pPr>
      <w:rPr>
        <w:rFonts w:hint="eastAsia"/>
      </w:rPr>
    </w:lvl>
    <w:lvl w:ilvl="8" w:tentative="0">
      <w:start w:val="1"/>
      <w:numFmt w:val="decimal"/>
      <w:suff w:val="space"/>
      <w:lvlText w:val="%2.%3.%4.%5.%6.%7.%8.%9"/>
      <w:lvlJc w:val="left"/>
      <w:pPr>
        <w:ind w:left="993" w:hanging="425"/>
      </w:pPr>
      <w:rPr>
        <w:rFonts w:hint="eastAsia"/>
      </w:rPr>
    </w:lvl>
  </w:abstractNum>
  <w:abstractNum w:abstractNumId="2">
    <w:nsid w:val="0C610587"/>
    <w:multiLevelType w:val="multilevel"/>
    <w:tmpl w:val="0C61058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chineseCountingThousand"/>
      <w:pStyle w:val="13"/>
      <w:lvlText w:val="(%3)"/>
      <w:lvlJc w:val="left"/>
      <w:pPr>
        <w:ind w:left="1021" w:hanging="17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D425A8"/>
    <w:multiLevelType w:val="multilevel"/>
    <w:tmpl w:val="32D425A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chineseCountingThousand"/>
      <w:lvlText w:val="(%3)"/>
      <w:lvlJc w:val="left"/>
      <w:pPr>
        <w:ind w:left="1021" w:hanging="17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lvlOverride w:ilvl="0">
      <w:lvl w:ilvl="0" w:tentative="1">
        <w:start w:val="1"/>
        <w:numFmt w:val="chineseCountingThousand"/>
        <w:pStyle w:val="10"/>
        <w:lvlText w:val="第%1条"/>
        <w:lvlJc w:val="left"/>
        <w:pPr>
          <w:tabs>
            <w:tab w:val="left" w:pos="851"/>
          </w:tabs>
          <w:ind w:left="567" w:hanging="283"/>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Override>
    <w:lvlOverride w:ilvl="1">
      <w:lvl w:ilvl="1" w:tentative="1">
        <w:start w:val="1"/>
        <w:numFmt w:val="decimal"/>
        <w:suff w:val="space"/>
        <w:lvlText w:val="第%2节"/>
        <w:lvlJc w:val="left"/>
        <w:pPr>
          <w:ind w:left="425" w:hanging="141"/>
        </w:pPr>
        <w:rPr>
          <w:rFonts w:hint="eastAsia"/>
        </w:rPr>
      </w:lvl>
    </w:lvlOverride>
    <w:lvlOverride w:ilvl="2">
      <w:lvl w:ilvl="2" w:tentative="1">
        <w:start w:val="1"/>
        <w:numFmt w:val="decimal"/>
        <w:suff w:val="space"/>
        <w:lvlText w:val="%2.%3"/>
        <w:lvlJc w:val="left"/>
        <w:pPr>
          <w:ind w:left="425" w:hanging="425"/>
        </w:pPr>
        <w:rPr>
          <w:rFonts w:hint="eastAsia"/>
        </w:rPr>
      </w:lvl>
    </w:lvlOverride>
    <w:lvlOverride w:ilvl="3">
      <w:lvl w:ilvl="3" w:tentative="1">
        <w:start w:val="1"/>
        <w:numFmt w:val="decimal"/>
        <w:suff w:val="space"/>
        <w:lvlText w:val="%2.%3.%4"/>
        <w:lvlJc w:val="left"/>
        <w:pPr>
          <w:ind w:left="425" w:hanging="425"/>
        </w:pPr>
        <w:rPr>
          <w:rFonts w:hint="eastAsia"/>
        </w:rPr>
      </w:lvl>
    </w:lvlOverride>
    <w:lvlOverride w:ilvl="4">
      <w:lvl w:ilvl="4" w:tentative="1">
        <w:start w:val="1"/>
        <w:numFmt w:val="decimal"/>
        <w:suff w:val="space"/>
        <w:lvlText w:val="%2.%3.%4.%5"/>
        <w:lvlJc w:val="left"/>
        <w:pPr>
          <w:ind w:left="425" w:hanging="425"/>
        </w:pPr>
        <w:rPr>
          <w:rFonts w:hint="eastAsia"/>
        </w:rPr>
      </w:lvl>
    </w:lvlOverride>
    <w:lvlOverride w:ilvl="5">
      <w:lvl w:ilvl="5" w:tentative="1">
        <w:start w:val="1"/>
        <w:numFmt w:val="decimal"/>
        <w:suff w:val="space"/>
        <w:lvlText w:val="%2.%3.%4.%5.%6"/>
        <w:lvlJc w:val="left"/>
        <w:pPr>
          <w:ind w:left="425" w:hanging="425"/>
        </w:pPr>
        <w:rPr>
          <w:rFonts w:hint="eastAsia"/>
        </w:rPr>
      </w:lvl>
    </w:lvlOverride>
    <w:lvlOverride w:ilvl="6">
      <w:lvl w:ilvl="6" w:tentative="1">
        <w:start w:val="1"/>
        <w:numFmt w:val="decimal"/>
        <w:suff w:val="space"/>
        <w:lvlText w:val="%2.%3.%4.%5.%6.%7"/>
        <w:lvlJc w:val="left"/>
        <w:pPr>
          <w:ind w:left="425" w:hanging="425"/>
        </w:pPr>
        <w:rPr>
          <w:rFonts w:hint="eastAsia"/>
        </w:rPr>
      </w:lvl>
    </w:lvlOverride>
    <w:lvlOverride w:ilvl="7">
      <w:lvl w:ilvl="7" w:tentative="1">
        <w:start w:val="1"/>
        <w:numFmt w:val="decimal"/>
        <w:suff w:val="space"/>
        <w:lvlText w:val="%2.%3.%4.%5.%6.%7.%8"/>
        <w:lvlJc w:val="left"/>
        <w:pPr>
          <w:ind w:left="425" w:hanging="425"/>
        </w:pPr>
        <w:rPr>
          <w:rFonts w:hint="eastAsia"/>
        </w:rPr>
      </w:lvl>
    </w:lvlOverride>
    <w:lvlOverride w:ilvl="8">
      <w:lvl w:ilvl="8" w:tentative="1">
        <w:start w:val="1"/>
        <w:numFmt w:val="decimal"/>
        <w:suff w:val="space"/>
        <w:lvlText w:val="%2.%3.%4.%5.%6.%7.%8.%9"/>
        <w:lvlJc w:val="left"/>
        <w:pPr>
          <w:ind w:left="425" w:hanging="425"/>
        </w:pPr>
        <w:rPr>
          <w:rFonts w:hint="eastAsia"/>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BD"/>
    <w:rsid w:val="001023D6"/>
    <w:rsid w:val="002750BD"/>
    <w:rsid w:val="006730E8"/>
    <w:rsid w:val="15F64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customStyle="1" w:styleId="8">
    <w:name w:val="章节2"/>
    <w:basedOn w:val="1"/>
    <w:uiPriority w:val="0"/>
    <w:pPr>
      <w:numPr>
        <w:ilvl w:val="0"/>
        <w:numId w:val="1"/>
      </w:numPr>
      <w:tabs>
        <w:tab w:val="left" w:pos="900"/>
      </w:tabs>
      <w:autoSpaceDE w:val="0"/>
      <w:autoSpaceDN w:val="0"/>
      <w:adjustRightInd w:val="0"/>
      <w:snapToGrid w:val="0"/>
      <w:spacing w:beforeLines="150" w:afterLines="100" w:line="300" w:lineRule="auto"/>
      <w:jc w:val="left"/>
      <w:outlineLvl w:val="0"/>
    </w:pPr>
    <w:rPr>
      <w:rFonts w:ascii="黑体" w:hAnsi="宋体" w:eastAsia="黑体"/>
      <w:b/>
      <w:kern w:val="0"/>
      <w:sz w:val="28"/>
      <w:szCs w:val="28"/>
    </w:rPr>
  </w:style>
  <w:style w:type="paragraph" w:customStyle="1" w:styleId="9">
    <w:name w:val="章节h"/>
    <w:basedOn w:val="8"/>
    <w:link w:val="12"/>
    <w:qFormat/>
    <w:uiPriority w:val="0"/>
    <w:pPr>
      <w:spacing w:before="468" w:after="312"/>
      <w:jc w:val="center"/>
    </w:pPr>
  </w:style>
  <w:style w:type="paragraph" w:customStyle="1" w:styleId="10">
    <w:name w:val="条款h"/>
    <w:basedOn w:val="11"/>
    <w:link w:val="14"/>
    <w:qFormat/>
    <w:uiPriority w:val="0"/>
    <w:pPr>
      <w:numPr>
        <w:ilvl w:val="0"/>
        <w:numId w:val="2"/>
      </w:numPr>
      <w:tabs>
        <w:tab w:val="left" w:pos="900"/>
      </w:tabs>
      <w:adjustRightInd w:val="0"/>
      <w:snapToGrid w:val="0"/>
      <w:spacing w:after="120" w:line="500" w:lineRule="exact"/>
      <w:ind w:firstLineChars="0"/>
    </w:pPr>
    <w:rPr>
      <w:rFonts w:ascii="宋体" w:hAnsi="宋体" w:eastAsia="仿宋_GB2312" w:cs="宋体"/>
      <w:sz w:val="28"/>
      <w:szCs w:val="28"/>
    </w:rPr>
  </w:style>
  <w:style w:type="paragraph" w:customStyle="1" w:styleId="11">
    <w:name w:val="List Paragraph"/>
    <w:basedOn w:val="1"/>
    <w:qFormat/>
    <w:uiPriority w:val="34"/>
    <w:pPr>
      <w:ind w:firstLine="420" w:firstLineChars="200"/>
    </w:pPr>
  </w:style>
  <w:style w:type="character" w:customStyle="1" w:styleId="12">
    <w:name w:val="章节h Char"/>
    <w:basedOn w:val="4"/>
    <w:link w:val="9"/>
    <w:uiPriority w:val="0"/>
    <w:rPr>
      <w:rFonts w:ascii="黑体" w:hAnsi="宋体" w:eastAsia="黑体" w:cs="Times New Roman"/>
      <w:b/>
      <w:kern w:val="0"/>
      <w:sz w:val="28"/>
      <w:szCs w:val="28"/>
    </w:rPr>
  </w:style>
  <w:style w:type="paragraph" w:customStyle="1" w:styleId="13">
    <w:name w:val="编号一h"/>
    <w:basedOn w:val="1"/>
    <w:link w:val="15"/>
    <w:qFormat/>
    <w:uiPriority w:val="0"/>
    <w:pPr>
      <w:widowControl/>
      <w:numPr>
        <w:ilvl w:val="2"/>
        <w:numId w:val="3"/>
      </w:numPr>
      <w:tabs>
        <w:tab w:val="left" w:pos="459"/>
        <w:tab w:val="left" w:pos="900"/>
      </w:tabs>
      <w:spacing w:line="500" w:lineRule="exact"/>
      <w:ind w:right="210" w:rightChars="100"/>
      <w:jc w:val="left"/>
    </w:pPr>
    <w:rPr>
      <w:rFonts w:ascii="宋体" w:hAnsi="宋体" w:eastAsia="仿宋_GB2312" w:cs="宋体"/>
      <w:sz w:val="28"/>
      <w:szCs w:val="28"/>
    </w:rPr>
  </w:style>
  <w:style w:type="character" w:customStyle="1" w:styleId="14">
    <w:name w:val="条款h Char"/>
    <w:link w:val="10"/>
    <w:qFormat/>
    <w:uiPriority w:val="0"/>
    <w:rPr>
      <w:rFonts w:ascii="宋体" w:hAnsi="宋体" w:eastAsia="仿宋_GB2312" w:cs="宋体"/>
      <w:sz w:val="28"/>
      <w:szCs w:val="28"/>
    </w:rPr>
  </w:style>
  <w:style w:type="character" w:customStyle="1" w:styleId="15">
    <w:name w:val="编号一h Char"/>
    <w:basedOn w:val="4"/>
    <w:link w:val="13"/>
    <w:qFormat/>
    <w:uiPriority w:val="0"/>
    <w:rPr>
      <w:rFonts w:ascii="宋体" w:hAnsi="宋体" w:eastAsia="仿宋_GB2312" w:cs="宋体"/>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304</Words>
  <Characters>1737</Characters>
  <Lines>14</Lines>
  <Paragraphs>4</Paragraphs>
  <TotalTime>0</TotalTime>
  <ScaleCrop>false</ScaleCrop>
  <LinksUpToDate>false</LinksUpToDate>
  <CharactersWithSpaces>2037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2017-03-19T10:51:00Z</dcterms:created>
  <dc:creator>Yolkok</dc:creator>
  <cp:lastModifiedBy>Administrator</cp:lastModifiedBy>
  <dcterms:modified xsi:type="dcterms:W3CDTF">2017-11-30T06:43:13Z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