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——产品采购管理制度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-4-01</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7"/>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产品采购管理制度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4</w:t>
            </w:r>
            <w:r>
              <w:rPr>
                <w:rFonts w:hint="eastAsia" w:asciiTheme="minorEastAsia" w:hAnsiTheme="minorEastAsia" w:eastAsiaTheme="minorEastAsia"/>
                <w:szCs w:val="21"/>
              </w:rPr>
              <w:t>-</w:t>
            </w:r>
            <w:r>
              <w:rPr>
                <w:rFonts w:asciiTheme="minorEastAsia" w:hAnsiTheme="minorEastAsia" w:eastAsiaTheme="minorEastAsia"/>
                <w:szCs w:val="21"/>
              </w:rPr>
              <w:t>01</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bookmarkStart w:id="6" w:name="_GoBack"/>
            <w:bookmarkEnd w:id="6"/>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Pr>
        <w:spacing w:line="360" w:lineRule="auto"/>
        <w:rPr>
          <w:szCs w:val="21"/>
        </w:rPr>
      </w:pPr>
      <w:r>
        <w:rPr>
          <w:rFonts w:hint="eastAsia"/>
          <w:szCs w:val="21"/>
        </w:rPr>
        <w:t>一、设备选型采购</w:t>
      </w:r>
    </w:p>
    <w:p>
      <w:pPr>
        <w:spacing w:line="360" w:lineRule="auto"/>
        <w:rPr>
          <w:szCs w:val="21"/>
        </w:rPr>
      </w:pPr>
      <w:r>
        <w:rPr>
          <w:szCs w:val="21"/>
        </w:rPr>
        <w:t>由</w:t>
      </w:r>
      <w:r>
        <w:rPr>
          <w:rFonts w:hint="eastAsia"/>
          <w:color w:val="FF0000"/>
          <w:szCs w:val="21"/>
        </w:rPr>
        <w:t>基础设施及数据中心</w:t>
      </w:r>
      <w:r>
        <w:rPr>
          <w:szCs w:val="21"/>
        </w:rPr>
        <w:t>负责设备的选型、采购工作。</w:t>
      </w:r>
    </w:p>
    <w:p>
      <w:pPr>
        <w:spacing w:line="360" w:lineRule="auto"/>
        <w:rPr>
          <w:szCs w:val="21"/>
        </w:rPr>
      </w:pPr>
      <w:r>
        <w:rPr>
          <w:rFonts w:hint="eastAsia"/>
          <w:szCs w:val="21"/>
        </w:rPr>
        <w:t>首先应先调查设备的技术经济指标，进行技术经济分析论证，提出可供选择的多种方案，然后本着技术上适用、经济上合理、生产上可行的原则作出是否购置的决策。为规范设备的选型与购置，确保设备安全有效，满足生产要求，根据公司相关制度，结合公司实际，特制订本制度如下：</w:t>
      </w:r>
    </w:p>
    <w:p>
      <w:pPr>
        <w:numPr>
          <w:ilvl w:val="0"/>
          <w:numId w:val="1"/>
        </w:numPr>
        <w:spacing w:line="360" w:lineRule="auto"/>
        <w:rPr>
          <w:szCs w:val="21"/>
        </w:rPr>
      </w:pPr>
      <w:r>
        <w:rPr>
          <w:rFonts w:hint="eastAsia"/>
          <w:szCs w:val="21"/>
        </w:rPr>
        <w:t>信息安全管理的设备包括移动硬盘、U盘、 配电柜、 UPS、机房专用空调、新风机、 空气净化器、 机房消防系统、 机房防雷设施、服务器、 网络交换机、路由器、防火墙、服务器、工作站、复印机、传真机、打印机等与工作有关的设备、器具、工具等；</w:t>
      </w:r>
    </w:p>
    <w:p>
      <w:pPr>
        <w:numPr>
          <w:ilvl w:val="0"/>
          <w:numId w:val="1"/>
        </w:numPr>
        <w:spacing w:line="360" w:lineRule="auto"/>
        <w:rPr>
          <w:szCs w:val="21"/>
        </w:rPr>
      </w:pPr>
      <w:r>
        <w:rPr>
          <w:szCs w:val="21"/>
        </w:rPr>
        <w:t>信息安全类设备，应检查其资质，如是否具有信息安全类产品的销售许可证，密码类产品应符合国家密码管理相关规定，具有相关资质。</w:t>
      </w:r>
    </w:p>
    <w:p>
      <w:pPr>
        <w:numPr>
          <w:ilvl w:val="0"/>
          <w:numId w:val="1"/>
        </w:numPr>
        <w:spacing w:line="360" w:lineRule="auto"/>
        <w:rPr>
          <w:szCs w:val="21"/>
        </w:rPr>
      </w:pPr>
      <w:r>
        <w:rPr>
          <w:rFonts w:hint="eastAsia"/>
          <w:szCs w:val="21"/>
        </w:rPr>
        <w:t>公司购置设备，必须按技术上先进，经济上合理，满足生产需要的原则，从技术设备管理和使用操作等角度进行论证，经过市场调研，同机型不同厂家比较后做出决定，并且所采购的设备需要具有符合国家有关规定的相关销售资质和认证；</w:t>
      </w:r>
    </w:p>
    <w:p>
      <w:pPr>
        <w:numPr>
          <w:ilvl w:val="0"/>
          <w:numId w:val="1"/>
        </w:numPr>
        <w:spacing w:line="360" w:lineRule="auto"/>
        <w:rPr>
          <w:szCs w:val="21"/>
        </w:rPr>
      </w:pPr>
      <w:r>
        <w:rPr>
          <w:rFonts w:hint="eastAsia"/>
          <w:szCs w:val="21"/>
        </w:rPr>
        <w:t>在进行设备选择时，应考虑设备结构的易修性，同时也要考虑生产厂家对配件的供应情况和提供维修服务的可能性等；</w:t>
      </w:r>
    </w:p>
    <w:p>
      <w:pPr>
        <w:numPr>
          <w:ilvl w:val="0"/>
          <w:numId w:val="1"/>
        </w:numPr>
        <w:spacing w:line="360" w:lineRule="auto"/>
        <w:rPr>
          <w:szCs w:val="21"/>
        </w:rPr>
      </w:pPr>
      <w:r>
        <w:rPr>
          <w:rFonts w:hint="eastAsia"/>
          <w:szCs w:val="21"/>
        </w:rPr>
        <w:t>做好设备的采购工作，建立和保持设备供应渠道畅通，确保满足工作需要并降低设备采购成本；</w:t>
      </w:r>
    </w:p>
    <w:p>
      <w:pPr>
        <w:numPr>
          <w:ilvl w:val="0"/>
          <w:numId w:val="1"/>
        </w:numPr>
        <w:spacing w:line="360" w:lineRule="auto"/>
        <w:rPr>
          <w:szCs w:val="21"/>
        </w:rPr>
      </w:pPr>
      <w:r>
        <w:rPr>
          <w:rFonts w:hint="eastAsia"/>
          <w:szCs w:val="21"/>
        </w:rPr>
        <w:t>新购置的设备应在公司相关部门登记，由信息安全人员负责并做好记录。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93B6A"/>
    <w:multiLevelType w:val="multilevel"/>
    <w:tmpl w:val="79993B6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C9"/>
    <w:rsid w:val="000D0E3B"/>
    <w:rsid w:val="0010243A"/>
    <w:rsid w:val="006730E8"/>
    <w:rsid w:val="009E4C6E"/>
    <w:rsid w:val="00A76864"/>
    <w:rsid w:val="00AE3DC9"/>
    <w:rsid w:val="00B05F19"/>
    <w:rsid w:val="00BF7489"/>
    <w:rsid w:val="00EB5930"/>
    <w:rsid w:val="77B9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First Indent"/>
    <w:basedOn w:val="3"/>
    <w:link w:val="10"/>
    <w:uiPriority w:val="0"/>
    <w:pPr>
      <w:spacing w:line="360" w:lineRule="auto"/>
      <w:ind w:firstLine="420" w:firstLineChars="100"/>
    </w:pPr>
    <w:rPr>
      <w:rFonts w:eastAsiaTheme="minorEastAsia" w:cstheme="minorBidi"/>
      <w:szCs w:val="22"/>
    </w:rPr>
  </w:style>
  <w:style w:type="paragraph" w:styleId="3">
    <w:name w:val="Body Text"/>
    <w:basedOn w:val="1"/>
    <w:link w:val="11"/>
    <w:unhideWhenUsed/>
    <w:qFormat/>
    <w:uiPriority w:val="99"/>
    <w:pPr>
      <w:spacing w:after="120"/>
    </w:p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正文首行缩进 Char"/>
    <w:link w:val="2"/>
    <w:qFormat/>
    <w:uiPriority w:val="0"/>
    <w:rPr>
      <w:rFonts w:ascii="Times New Roman" w:hAnsi="Times New Roman"/>
    </w:rPr>
  </w:style>
  <w:style w:type="character" w:customStyle="1" w:styleId="11">
    <w:name w:val="正文文本 Char"/>
    <w:basedOn w:val="6"/>
    <w:link w:val="3"/>
    <w:semiHidden/>
    <w:uiPriority w:val="99"/>
    <w:rPr>
      <w:rFonts w:ascii="Times New Roman" w:hAnsi="Times New Roman" w:eastAsia="宋体" w:cs="Times New Roman"/>
      <w:szCs w:val="24"/>
    </w:rPr>
  </w:style>
  <w:style w:type="character" w:customStyle="1" w:styleId="12">
    <w:name w:val="正文首行缩进 字符"/>
    <w:basedOn w:val="11"/>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129</Words>
  <Characters>739</Characters>
  <Lines>6</Lines>
  <Paragraphs>1</Paragraphs>
  <TotalTime>0</TotalTime>
  <ScaleCrop>false</ScaleCrop>
  <LinksUpToDate>false</LinksUpToDate>
  <CharactersWithSpaces>867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2017-11-30T06:52:40Z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