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p>
    <w:p>
      <w:pPr>
        <w:jc w:val="center"/>
        <w:rPr>
          <w:rFonts w:hint="eastAsia" w:asciiTheme="minorEastAsia" w:hAnsiTheme="minorEastAsia"/>
          <w:b/>
          <w:bCs/>
          <w:sz w:val="48"/>
          <w:szCs w:val="48"/>
          <w:lang w:eastAsia="zh-CN"/>
        </w:rPr>
      </w:pPr>
      <w:r>
        <w:rPr>
          <w:rFonts w:hint="eastAsia" w:asciiTheme="minorEastAsia" w:hAnsiTheme="minorEastAsia"/>
          <w:b/>
          <w:bCs/>
          <w:sz w:val="48"/>
          <w:szCs w:val="48"/>
          <w:lang w:eastAsia="zh-CN"/>
        </w:rPr>
        <w:t>北京汇聚融达网络科技有限公司</w:t>
      </w:r>
    </w:p>
    <w:p>
      <w:pPr>
        <w:jc w:val="center"/>
        <w:rPr>
          <w:rFonts w:asciiTheme="minorEastAsia" w:hAnsiTheme="minorEastAsia" w:eastAsiaTheme="minorEastAsia"/>
          <w:b/>
          <w:bCs/>
          <w:sz w:val="48"/>
          <w:szCs w:val="48"/>
        </w:rPr>
      </w:pPr>
      <w:r>
        <w:rPr>
          <w:rFonts w:hint="eastAsia" w:asciiTheme="minorEastAsia" w:hAnsiTheme="minorEastAsia" w:eastAsiaTheme="minorEastAsia"/>
          <w:b/>
          <w:bCs/>
          <w:sz w:val="48"/>
          <w:szCs w:val="48"/>
        </w:rPr>
        <w:t>——工程实施过程管理制度</w:t>
      </w:r>
    </w:p>
    <w:p>
      <w:pPr>
        <w:rPr>
          <w:rFonts w:asciiTheme="minorEastAsia" w:hAnsiTheme="minorEastAsia" w:eastAsiaTheme="minorEastAsia"/>
          <w:b/>
          <w:bCs/>
          <w:sz w:val="48"/>
          <w:szCs w:val="48"/>
        </w:rPr>
      </w:pPr>
      <w:bookmarkStart w:id="0" w:name="_Toc186516935"/>
    </w:p>
    <w:p>
      <w:pPr>
        <w:ind w:left="1978" w:leftChars="942"/>
        <w:rPr>
          <w:rFonts w:asciiTheme="minorEastAsia" w:hAnsiTheme="minorEastAsia" w:eastAsiaTheme="minorEastAsia"/>
          <w:b/>
          <w:bCs/>
          <w:sz w:val="32"/>
          <w:szCs w:val="32"/>
        </w:rPr>
      </w:pPr>
      <w:bookmarkStart w:id="1" w:name="_Toc186526452"/>
      <w:r>
        <w:rPr>
          <w:rFonts w:hint="eastAsia" w:asciiTheme="minorEastAsia" w:hAnsiTheme="minorEastAsia" w:eastAsiaTheme="minorEastAsia"/>
          <w:b/>
          <w:bCs/>
          <w:sz w:val="32"/>
          <w:szCs w:val="32"/>
        </w:rPr>
        <w:t>文件编码：</w:t>
      </w:r>
      <w:bookmarkEnd w:id="0"/>
      <w:bookmarkEnd w:id="1"/>
      <w:r>
        <w:rPr>
          <w:rFonts w:hint="eastAsia" w:asciiTheme="minorEastAsia" w:hAnsiTheme="minorEastAsia"/>
          <w:b/>
          <w:bCs/>
          <w:sz w:val="32"/>
          <w:szCs w:val="32"/>
          <w:lang w:val="en-US" w:eastAsia="zh-CN"/>
        </w:rPr>
        <w:t>HJRD</w:t>
      </w:r>
      <w:r>
        <w:rPr>
          <w:rFonts w:hint="eastAsia" w:asciiTheme="minorEastAsia" w:hAnsiTheme="minorEastAsia" w:eastAsiaTheme="minorEastAsia"/>
          <w:b/>
          <w:bCs/>
          <w:sz w:val="32"/>
          <w:szCs w:val="32"/>
        </w:rPr>
        <w:t>-4-</w:t>
      </w:r>
      <w:r>
        <w:rPr>
          <w:rFonts w:asciiTheme="minorEastAsia" w:hAnsiTheme="minorEastAsia" w:eastAsiaTheme="minorEastAsia"/>
          <w:b/>
          <w:bCs/>
          <w:sz w:val="32"/>
          <w:szCs w:val="32"/>
        </w:rPr>
        <w:t>04</w:t>
      </w:r>
    </w:p>
    <w:p>
      <w:pPr>
        <w:ind w:left="1978" w:leftChars="942"/>
        <w:rPr>
          <w:rFonts w:asciiTheme="minorEastAsia" w:hAnsiTheme="minorEastAsia" w:eastAsiaTheme="minorEastAsia"/>
          <w:b/>
          <w:bCs/>
          <w:sz w:val="32"/>
          <w:szCs w:val="32"/>
        </w:rPr>
      </w:pPr>
      <w:bookmarkStart w:id="2" w:name="_Toc186516936"/>
      <w:bookmarkStart w:id="3" w:name="_Toc186526453"/>
      <w:r>
        <w:rPr>
          <w:rFonts w:hint="eastAsia" w:asciiTheme="minorEastAsia" w:hAnsiTheme="minorEastAsia" w:eastAsiaTheme="minorEastAsia"/>
          <w:b/>
          <w:bCs/>
          <w:sz w:val="32"/>
          <w:szCs w:val="32"/>
        </w:rPr>
        <w:t>版    本：</w:t>
      </w:r>
      <w:bookmarkEnd w:id="2"/>
      <w:bookmarkEnd w:id="3"/>
      <w:bookmarkStart w:id="4" w:name="_Toc186516937"/>
      <w:bookmarkStart w:id="5" w:name="_Toc186526454"/>
      <w:r>
        <w:rPr>
          <w:rFonts w:hint="eastAsia" w:asciiTheme="minorEastAsia" w:hAnsiTheme="minorEastAsia" w:eastAsiaTheme="minorEastAsia"/>
          <w:b/>
          <w:bCs/>
          <w:sz w:val="32"/>
          <w:szCs w:val="32"/>
        </w:rPr>
        <w:t>V1.0</w:t>
      </w:r>
    </w:p>
    <w:p>
      <w:pPr>
        <w:ind w:left="1978" w:leftChars="942"/>
        <w:rPr>
          <w:rFonts w:hint="eastAsia" w:eastAsia="宋体" w:asciiTheme="minorEastAsia" w:hAnsiTheme="minorEastAsia"/>
          <w:b/>
          <w:bCs/>
          <w:kern w:val="0"/>
          <w:sz w:val="32"/>
          <w:szCs w:val="32"/>
          <w:lang w:val="en-US" w:eastAsia="zh-CN"/>
        </w:rPr>
        <w:sectPr>
          <w:pgSz w:w="11906" w:h="16838"/>
          <w:pgMar w:top="1440" w:right="1800" w:bottom="1440" w:left="1800" w:header="851" w:footer="992" w:gutter="0"/>
          <w:cols w:space="720" w:num="1"/>
          <w:docGrid w:type="lines" w:linePitch="312" w:charSpace="0"/>
        </w:sectPr>
      </w:pPr>
      <w:r>
        <w:rPr>
          <w:rFonts w:hint="eastAsia" w:asciiTheme="minorEastAsia" w:hAnsiTheme="minorEastAsia" w:eastAsiaTheme="minorEastAsia"/>
          <w:b/>
          <w:bCs/>
          <w:sz w:val="32"/>
          <w:szCs w:val="32"/>
        </w:rPr>
        <w:t>发布日期：</w:t>
      </w:r>
      <w:bookmarkEnd w:id="4"/>
      <w:bookmarkEnd w:id="5"/>
      <w:r>
        <w:rPr>
          <w:rFonts w:hint="eastAsia" w:asciiTheme="minorEastAsia" w:hAnsiTheme="minorEastAsia"/>
          <w:b/>
          <w:bCs/>
          <w:sz w:val="32"/>
          <w:szCs w:val="32"/>
          <w:lang w:val="en-US" w:eastAsia="zh-CN"/>
        </w:rPr>
        <w:t>2017-11-23</w:t>
      </w:r>
    </w:p>
    <w:p>
      <w:pPr>
        <w:pBdr>
          <w:bottom w:val="double" w:color="auto" w:sz="12" w:space="1"/>
        </w:pBdr>
        <w:autoSpaceDE w:val="0"/>
        <w:autoSpaceDN w:val="0"/>
        <w:adjustRightInd w:val="0"/>
        <w:jc w:val="left"/>
        <w:rPr>
          <w:rFonts w:asciiTheme="minorEastAsia" w:hAnsiTheme="minorEastAsia" w:eastAsiaTheme="minorEastAsia"/>
          <w:b/>
          <w:bCs/>
          <w:kern w:val="0"/>
          <w:sz w:val="32"/>
          <w:szCs w:val="32"/>
        </w:rPr>
      </w:pPr>
      <w:r>
        <w:rPr>
          <w:rFonts w:hint="eastAsia" w:asciiTheme="minorEastAsia" w:hAnsiTheme="minorEastAsia" w:eastAsiaTheme="minorEastAsia"/>
          <w:b/>
          <w:bCs/>
          <w:kern w:val="0"/>
          <w:sz w:val="32"/>
          <w:szCs w:val="32"/>
        </w:rPr>
        <w:t>文档信息</w:t>
      </w:r>
    </w:p>
    <w:tbl>
      <w:tblPr>
        <w:tblStyle w:val="5"/>
        <w:tblpPr w:leftFromText="180" w:rightFromText="180" w:vertAnchor="text" w:horzAnchor="margin" w:tblpY="516"/>
        <w:tblW w:w="8925"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367"/>
        <w:gridCol w:w="898"/>
        <w:gridCol w:w="3420"/>
        <w:gridCol w:w="1080"/>
        <w:gridCol w:w="1077"/>
        <w:gridCol w:w="1083"/>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8925" w:type="dxa"/>
            <w:gridSpan w:val="6"/>
            <w:tcBorders>
              <w:top w:val="single" w:color="auto" w:sz="12" w:space="0"/>
              <w:left w:val="single" w:color="auto" w:sz="12" w:space="0"/>
              <w:bottom w:val="single" w:color="auto" w:sz="8" w:space="0"/>
              <w:right w:val="single" w:color="auto" w:sz="12" w:space="0"/>
            </w:tcBorders>
            <w:shd w:val="clear" w:color="auto" w:fill="C0C0C0"/>
            <w:vAlign w:val="center"/>
          </w:tcPr>
          <w:p>
            <w:pPr>
              <w:keepNext/>
              <w:keepLines/>
              <w:jc w:val="center"/>
              <w:rPr>
                <w:rFonts w:asciiTheme="minorEastAsia" w:hAnsiTheme="minorEastAsia" w:eastAsiaTheme="minorEastAsia"/>
                <w:b/>
                <w:szCs w:val="21"/>
              </w:rPr>
            </w:pPr>
            <w:r>
              <w:rPr>
                <w:rFonts w:hint="eastAsia" w:asciiTheme="minorEastAsia" w:hAnsiTheme="minorEastAsia" w:eastAsiaTheme="minorEastAsia"/>
                <w:b/>
                <w:szCs w:val="21"/>
              </w:rPr>
              <w:t>基本信息</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1367" w:type="dxa"/>
            <w:tcBorders>
              <w:top w:val="single" w:color="auto" w:sz="8" w:space="0"/>
              <w:left w:val="single" w:color="auto" w:sz="12" w:space="0"/>
              <w:bottom w:val="single" w:color="auto" w:sz="8" w:space="0"/>
              <w:right w:val="single" w:color="auto" w:sz="8" w:space="0"/>
            </w:tcBorders>
            <w:vAlign w:val="center"/>
          </w:tcPr>
          <w:p>
            <w:pPr>
              <w:keepNext/>
              <w:keepLines/>
              <w:rPr>
                <w:rFonts w:asciiTheme="minorEastAsia" w:hAnsiTheme="minorEastAsia" w:eastAsiaTheme="minorEastAsia"/>
                <w:b/>
                <w:bCs/>
                <w:szCs w:val="21"/>
              </w:rPr>
            </w:pPr>
            <w:r>
              <w:rPr>
                <w:rFonts w:hint="eastAsia" w:asciiTheme="minorEastAsia" w:hAnsiTheme="minorEastAsia" w:eastAsiaTheme="minorEastAsia"/>
                <w:b/>
                <w:bCs/>
                <w:szCs w:val="21"/>
              </w:rPr>
              <w:t>文档名称</w:t>
            </w:r>
          </w:p>
        </w:tc>
        <w:tc>
          <w:tcPr>
            <w:tcW w:w="4318" w:type="dxa"/>
            <w:gridSpan w:val="2"/>
            <w:tcBorders>
              <w:top w:val="single" w:color="auto" w:sz="8" w:space="0"/>
              <w:left w:val="single" w:color="auto" w:sz="8" w:space="0"/>
              <w:bottom w:val="single" w:color="auto" w:sz="8" w:space="0"/>
              <w:right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工程实施过程管理制度</w:t>
            </w:r>
          </w:p>
        </w:tc>
        <w:tc>
          <w:tcPr>
            <w:tcW w:w="1080" w:type="dxa"/>
            <w:tcBorders>
              <w:top w:val="single" w:color="auto" w:sz="8" w:space="0"/>
              <w:left w:val="single" w:color="auto" w:sz="8" w:space="0"/>
              <w:bottom w:val="single" w:color="auto" w:sz="8" w:space="0"/>
              <w:right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b/>
                <w:bCs/>
                <w:szCs w:val="21"/>
              </w:rPr>
              <w:t>保密级别</w:t>
            </w:r>
          </w:p>
        </w:tc>
        <w:tc>
          <w:tcPr>
            <w:tcW w:w="2160" w:type="dxa"/>
            <w:gridSpan w:val="2"/>
            <w:tcBorders>
              <w:top w:val="single" w:color="auto" w:sz="8" w:space="0"/>
              <w:left w:val="single" w:color="auto" w:sz="8" w:space="0"/>
              <w:bottom w:val="single" w:color="auto" w:sz="8" w:space="0"/>
              <w:right w:val="single" w:color="auto" w:sz="12"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内部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1367" w:type="dxa"/>
            <w:tcBorders>
              <w:top w:val="single" w:color="auto" w:sz="8" w:space="0"/>
              <w:left w:val="single" w:color="auto" w:sz="12" w:space="0"/>
              <w:bottom w:val="single" w:color="auto" w:sz="8" w:space="0"/>
              <w:right w:val="single" w:color="auto" w:sz="8" w:space="0"/>
            </w:tcBorders>
            <w:vAlign w:val="center"/>
          </w:tcPr>
          <w:p>
            <w:pPr>
              <w:keepNext/>
              <w:keepLines/>
              <w:rPr>
                <w:rFonts w:asciiTheme="minorEastAsia" w:hAnsiTheme="minorEastAsia" w:eastAsiaTheme="minorEastAsia"/>
                <w:b/>
                <w:bCs/>
                <w:szCs w:val="21"/>
              </w:rPr>
            </w:pPr>
            <w:r>
              <w:rPr>
                <w:rFonts w:hint="eastAsia" w:asciiTheme="minorEastAsia" w:hAnsiTheme="minorEastAsia" w:eastAsiaTheme="minorEastAsia"/>
                <w:b/>
                <w:bCs/>
                <w:szCs w:val="21"/>
              </w:rPr>
              <w:t>文档编号</w:t>
            </w:r>
          </w:p>
        </w:tc>
        <w:tc>
          <w:tcPr>
            <w:tcW w:w="4318" w:type="dxa"/>
            <w:gridSpan w:val="2"/>
            <w:tcBorders>
              <w:top w:val="single" w:color="auto" w:sz="8" w:space="0"/>
              <w:left w:val="single" w:color="auto" w:sz="8" w:space="0"/>
              <w:bottom w:val="single" w:color="auto" w:sz="8" w:space="0"/>
              <w:right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szCs w:val="21"/>
                <w:lang w:val="en-US" w:eastAsia="zh-CN"/>
              </w:rPr>
              <w:t>HJRD</w:t>
            </w:r>
            <w:r>
              <w:rPr>
                <w:rFonts w:hint="eastAsia" w:asciiTheme="minorEastAsia" w:hAnsiTheme="minorEastAsia" w:eastAsiaTheme="minorEastAsia"/>
                <w:szCs w:val="21"/>
              </w:rPr>
              <w:t>-4-</w:t>
            </w:r>
            <w:r>
              <w:rPr>
                <w:rFonts w:asciiTheme="minorEastAsia" w:hAnsiTheme="minorEastAsia" w:eastAsiaTheme="minorEastAsia"/>
                <w:szCs w:val="21"/>
              </w:rPr>
              <w:t>04</w:t>
            </w:r>
          </w:p>
        </w:tc>
        <w:tc>
          <w:tcPr>
            <w:tcW w:w="1080" w:type="dxa"/>
            <w:tcBorders>
              <w:top w:val="single" w:color="auto" w:sz="8" w:space="0"/>
              <w:left w:val="single" w:color="auto" w:sz="8" w:space="0"/>
              <w:bottom w:val="single" w:color="auto" w:sz="8" w:space="0"/>
              <w:right w:val="single" w:color="auto" w:sz="8" w:space="0"/>
            </w:tcBorders>
            <w:vAlign w:val="center"/>
          </w:tcPr>
          <w:p>
            <w:pPr>
              <w:keepNext/>
              <w:keepLines/>
              <w:rPr>
                <w:rFonts w:asciiTheme="minorEastAsia" w:hAnsiTheme="minorEastAsia" w:eastAsiaTheme="minorEastAsia"/>
                <w:b/>
                <w:bCs/>
                <w:szCs w:val="21"/>
              </w:rPr>
            </w:pPr>
            <w:r>
              <w:rPr>
                <w:rFonts w:hint="eastAsia" w:asciiTheme="minorEastAsia" w:hAnsiTheme="minorEastAsia" w:eastAsiaTheme="minorEastAsia"/>
                <w:b/>
                <w:bCs/>
                <w:szCs w:val="21"/>
              </w:rPr>
              <w:t>牵头部门</w:t>
            </w:r>
          </w:p>
        </w:tc>
        <w:tc>
          <w:tcPr>
            <w:tcW w:w="2160" w:type="dxa"/>
            <w:gridSpan w:val="2"/>
            <w:tcBorders>
              <w:top w:val="single" w:color="auto" w:sz="8" w:space="0"/>
              <w:left w:val="single" w:color="auto" w:sz="8" w:space="0"/>
              <w:bottom w:val="single" w:color="auto" w:sz="8" w:space="0"/>
              <w:right w:val="single" w:color="auto" w:sz="12" w:space="0"/>
            </w:tcBorders>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技术部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8" w:hRule="atLeast"/>
        </w:trPr>
        <w:tc>
          <w:tcPr>
            <w:tcW w:w="1367" w:type="dxa"/>
            <w:tcBorders>
              <w:top w:val="single" w:color="auto" w:sz="8" w:space="0"/>
              <w:left w:val="single" w:color="auto" w:sz="12" w:space="0"/>
              <w:bottom w:val="single" w:color="auto" w:sz="8" w:space="0"/>
              <w:right w:val="single" w:color="auto" w:sz="8" w:space="0"/>
            </w:tcBorders>
            <w:vAlign w:val="center"/>
          </w:tcPr>
          <w:p>
            <w:pPr>
              <w:keepNext/>
              <w:keepLines/>
              <w:rPr>
                <w:rFonts w:asciiTheme="minorEastAsia" w:hAnsiTheme="minorEastAsia" w:eastAsiaTheme="minorEastAsia"/>
                <w:b/>
                <w:bCs/>
                <w:szCs w:val="21"/>
              </w:rPr>
            </w:pPr>
            <w:r>
              <w:rPr>
                <w:rFonts w:hint="eastAsia" w:asciiTheme="minorEastAsia" w:hAnsiTheme="minorEastAsia" w:eastAsiaTheme="minorEastAsia"/>
                <w:b/>
                <w:bCs/>
                <w:szCs w:val="21"/>
              </w:rPr>
              <w:t>分发范围</w:t>
            </w:r>
          </w:p>
        </w:tc>
        <w:tc>
          <w:tcPr>
            <w:tcW w:w="7558" w:type="dxa"/>
            <w:gridSpan w:val="5"/>
            <w:tcBorders>
              <w:top w:val="single" w:color="auto" w:sz="8" w:space="0"/>
              <w:left w:val="single" w:color="auto" w:sz="8" w:space="0"/>
              <w:bottom w:val="single" w:color="auto" w:sz="8" w:space="0"/>
              <w:right w:val="single" w:color="auto" w:sz="12" w:space="0"/>
            </w:tcBorders>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制度管控员工</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35" w:hRule="atLeast"/>
        </w:trPr>
        <w:tc>
          <w:tcPr>
            <w:tcW w:w="8925" w:type="dxa"/>
            <w:gridSpan w:val="6"/>
            <w:tcBorders>
              <w:top w:val="single" w:color="auto" w:sz="8" w:space="0"/>
              <w:left w:val="single" w:color="auto" w:sz="12" w:space="0"/>
              <w:bottom w:val="single" w:color="auto" w:sz="8" w:space="0"/>
              <w:right w:val="single" w:color="auto" w:sz="12" w:space="0"/>
            </w:tcBorders>
            <w:shd w:val="clear" w:color="auto" w:fill="B3B3B3"/>
            <w:vAlign w:val="center"/>
          </w:tcPr>
          <w:p>
            <w:pPr>
              <w:keepNext/>
              <w:keepLines/>
              <w:jc w:val="center"/>
              <w:rPr>
                <w:rFonts w:asciiTheme="minorEastAsia" w:hAnsiTheme="minorEastAsia" w:eastAsiaTheme="minorEastAsia"/>
                <w:b/>
                <w:bCs/>
                <w:szCs w:val="21"/>
              </w:rPr>
            </w:pPr>
            <w:r>
              <w:rPr>
                <w:rFonts w:hint="eastAsia" w:asciiTheme="minorEastAsia" w:hAnsiTheme="minorEastAsia" w:eastAsiaTheme="minorEastAsia"/>
                <w:b/>
                <w:bCs/>
                <w:szCs w:val="21"/>
              </w:rPr>
              <w:t>版本修订</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7" w:type="dxa"/>
            <w:tcBorders>
              <w:top w:val="single" w:color="auto" w:sz="8" w:space="0"/>
              <w:left w:val="single" w:color="auto" w:sz="12" w:space="0"/>
              <w:bottom w:val="single" w:color="auto" w:sz="8" w:space="0"/>
              <w:right w:val="single" w:color="auto" w:sz="8" w:space="0"/>
            </w:tcBorders>
            <w:vAlign w:val="center"/>
          </w:tcPr>
          <w:p>
            <w:pPr>
              <w:keepNext/>
              <w:keepLines/>
              <w:jc w:val="center"/>
              <w:rPr>
                <w:rFonts w:asciiTheme="minorEastAsia" w:hAnsiTheme="minorEastAsia" w:eastAsiaTheme="minorEastAsia"/>
                <w:b/>
                <w:bCs/>
                <w:szCs w:val="21"/>
              </w:rPr>
            </w:pPr>
            <w:r>
              <w:rPr>
                <w:rFonts w:hint="eastAsia" w:asciiTheme="minorEastAsia" w:hAnsiTheme="minorEastAsia" w:eastAsiaTheme="minorEastAsia"/>
                <w:b/>
                <w:bCs/>
                <w:szCs w:val="21"/>
              </w:rPr>
              <w:t>生效日期</w:t>
            </w:r>
          </w:p>
        </w:tc>
        <w:tc>
          <w:tcPr>
            <w:tcW w:w="898"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b/>
                <w:bCs/>
                <w:szCs w:val="21"/>
              </w:rPr>
            </w:pPr>
            <w:r>
              <w:rPr>
                <w:rFonts w:hint="eastAsia" w:asciiTheme="minorEastAsia" w:hAnsiTheme="minorEastAsia" w:eastAsiaTheme="minorEastAsia"/>
                <w:b/>
                <w:bCs/>
                <w:szCs w:val="21"/>
              </w:rPr>
              <w:t>版本号</w:t>
            </w:r>
          </w:p>
        </w:tc>
        <w:tc>
          <w:tcPr>
            <w:tcW w:w="3420"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b/>
                <w:bCs/>
                <w:szCs w:val="21"/>
              </w:rPr>
            </w:pPr>
            <w:r>
              <w:rPr>
                <w:rFonts w:hint="eastAsia" w:asciiTheme="minorEastAsia" w:hAnsiTheme="minorEastAsia" w:eastAsiaTheme="minorEastAsia"/>
                <w:b/>
                <w:bCs/>
                <w:szCs w:val="21"/>
              </w:rPr>
              <w:t>版本说明</w:t>
            </w:r>
          </w:p>
        </w:tc>
        <w:tc>
          <w:tcPr>
            <w:tcW w:w="1080"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b/>
                <w:bCs/>
                <w:szCs w:val="21"/>
              </w:rPr>
            </w:pPr>
            <w:r>
              <w:rPr>
                <w:rFonts w:hint="eastAsia" w:asciiTheme="minorEastAsia" w:hAnsiTheme="minorEastAsia" w:eastAsiaTheme="minorEastAsia"/>
                <w:b/>
                <w:bCs/>
                <w:szCs w:val="21"/>
              </w:rPr>
              <w:t>制作</w:t>
            </w:r>
          </w:p>
        </w:tc>
        <w:tc>
          <w:tcPr>
            <w:tcW w:w="1077"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b/>
                <w:bCs/>
                <w:szCs w:val="21"/>
              </w:rPr>
            </w:pPr>
            <w:r>
              <w:rPr>
                <w:rFonts w:hint="eastAsia" w:asciiTheme="minorEastAsia" w:hAnsiTheme="minorEastAsia" w:eastAsiaTheme="minorEastAsia"/>
                <w:b/>
                <w:bCs/>
                <w:szCs w:val="21"/>
              </w:rPr>
              <w:t>复审</w:t>
            </w:r>
          </w:p>
        </w:tc>
        <w:tc>
          <w:tcPr>
            <w:tcW w:w="1083" w:type="dxa"/>
            <w:tcBorders>
              <w:top w:val="single" w:color="auto" w:sz="8" w:space="0"/>
              <w:left w:val="single" w:color="auto" w:sz="8" w:space="0"/>
              <w:bottom w:val="single" w:color="auto" w:sz="8" w:space="0"/>
              <w:right w:val="single" w:color="auto" w:sz="12" w:space="0"/>
            </w:tcBorders>
            <w:vAlign w:val="center"/>
          </w:tcPr>
          <w:p>
            <w:pPr>
              <w:keepNext/>
              <w:keepLines/>
              <w:jc w:val="center"/>
              <w:rPr>
                <w:rFonts w:asciiTheme="minorEastAsia" w:hAnsiTheme="minorEastAsia" w:eastAsiaTheme="minorEastAsia"/>
                <w:b/>
                <w:bCs/>
                <w:szCs w:val="21"/>
              </w:rPr>
            </w:pPr>
            <w:r>
              <w:rPr>
                <w:rFonts w:hint="eastAsia" w:asciiTheme="minorEastAsia" w:hAnsiTheme="minorEastAsia" w:eastAsiaTheme="minorEastAsia"/>
                <w:b/>
                <w:bCs/>
                <w:szCs w:val="21"/>
              </w:rPr>
              <w:t>批准</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7" w:type="dxa"/>
            <w:tcBorders>
              <w:top w:val="single" w:color="auto" w:sz="8" w:space="0"/>
              <w:left w:val="single" w:color="auto" w:sz="12" w:space="0"/>
              <w:bottom w:val="single" w:color="auto" w:sz="8" w:space="0"/>
              <w:right w:val="single" w:color="auto" w:sz="8" w:space="0"/>
            </w:tcBorders>
            <w:vAlign w:val="center"/>
          </w:tcPr>
          <w:p>
            <w:pPr>
              <w:keepNext/>
              <w:keepLines/>
              <w:jc w:val="center"/>
              <w:rPr>
                <w:rFonts w:hint="eastAsia" w:eastAsia="宋体" w:asciiTheme="minorEastAsia" w:hAnsiTheme="minorEastAsia"/>
                <w:szCs w:val="21"/>
                <w:lang w:eastAsia="zh-CN"/>
              </w:rPr>
            </w:pPr>
            <w:r>
              <w:rPr>
                <w:rFonts w:hint="eastAsia" w:asciiTheme="minorEastAsia" w:hAnsiTheme="minorEastAsia"/>
                <w:szCs w:val="21"/>
                <w:lang w:eastAsia="zh-CN"/>
              </w:rPr>
              <w:t>上半年</w:t>
            </w:r>
          </w:p>
        </w:tc>
        <w:tc>
          <w:tcPr>
            <w:tcW w:w="898"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szCs w:val="21"/>
              </w:rPr>
            </w:pPr>
            <w:r>
              <w:rPr>
                <w:rFonts w:hint="eastAsia" w:asciiTheme="minorEastAsia" w:hAnsiTheme="minorEastAsia" w:eastAsiaTheme="minorEastAsia"/>
                <w:szCs w:val="21"/>
              </w:rPr>
              <w:t>V1.0</w:t>
            </w:r>
          </w:p>
        </w:tc>
        <w:tc>
          <w:tcPr>
            <w:tcW w:w="3420" w:type="dxa"/>
            <w:tcBorders>
              <w:top w:val="single" w:color="auto" w:sz="8" w:space="0"/>
              <w:left w:val="single" w:color="auto" w:sz="8" w:space="0"/>
              <w:bottom w:val="single" w:color="auto" w:sz="8" w:space="0"/>
              <w:right w:val="single" w:color="auto" w:sz="8" w:space="0"/>
            </w:tcBorders>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第一版</w:t>
            </w:r>
          </w:p>
        </w:tc>
        <w:tc>
          <w:tcPr>
            <w:tcW w:w="1080"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hint="eastAsia" w:eastAsia="宋体" w:asciiTheme="minorEastAsia" w:hAnsiTheme="minorEastAsia"/>
                <w:szCs w:val="21"/>
                <w:lang w:eastAsia="zh-CN"/>
              </w:rPr>
            </w:pPr>
            <w:r>
              <w:rPr>
                <w:rFonts w:hint="eastAsia" w:asciiTheme="minorEastAsia" w:hAnsiTheme="minorEastAsia"/>
                <w:szCs w:val="21"/>
                <w:lang w:eastAsia="zh-CN"/>
              </w:rPr>
              <w:t>刘少会</w:t>
            </w:r>
            <w:r>
              <w:rPr>
                <w:rFonts w:hint="eastAsia" w:asciiTheme="minorEastAsia" w:hAnsiTheme="minorEastAsia"/>
                <w:szCs w:val="21"/>
                <w:lang w:val="en-US" w:eastAsia="zh-CN"/>
              </w:rPr>
              <w:t>/刘陵镇</w:t>
            </w:r>
          </w:p>
        </w:tc>
        <w:tc>
          <w:tcPr>
            <w:tcW w:w="1077"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CTO</w:t>
            </w:r>
          </w:p>
        </w:tc>
        <w:tc>
          <w:tcPr>
            <w:tcW w:w="1083" w:type="dxa"/>
            <w:tcBorders>
              <w:top w:val="single" w:color="auto" w:sz="8" w:space="0"/>
              <w:left w:val="single" w:color="auto" w:sz="8" w:space="0"/>
              <w:bottom w:val="single" w:color="auto" w:sz="8" w:space="0"/>
              <w:right w:val="single" w:color="auto" w:sz="12" w:space="0"/>
            </w:tcBorders>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CEO</w:t>
            </w:r>
            <w:bookmarkStart w:id="6" w:name="_GoBack"/>
            <w:bookmarkEnd w:id="6"/>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7" w:type="dxa"/>
            <w:tcBorders>
              <w:top w:val="single" w:color="auto" w:sz="8" w:space="0"/>
              <w:left w:val="single" w:color="auto" w:sz="12" w:space="0"/>
              <w:bottom w:val="single" w:color="auto" w:sz="8" w:space="0"/>
              <w:right w:val="single" w:color="auto" w:sz="8" w:space="0"/>
            </w:tcBorders>
            <w:vAlign w:val="center"/>
          </w:tcPr>
          <w:p>
            <w:pPr>
              <w:keepNext/>
              <w:keepLines/>
              <w:jc w:val="center"/>
              <w:rPr>
                <w:rFonts w:asciiTheme="minorEastAsia" w:hAnsiTheme="minorEastAsia" w:eastAsiaTheme="minorEastAsia"/>
                <w:szCs w:val="21"/>
              </w:rPr>
            </w:pPr>
          </w:p>
        </w:tc>
        <w:tc>
          <w:tcPr>
            <w:tcW w:w="898"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szCs w:val="21"/>
              </w:rPr>
            </w:pPr>
          </w:p>
        </w:tc>
        <w:tc>
          <w:tcPr>
            <w:tcW w:w="3420" w:type="dxa"/>
            <w:tcBorders>
              <w:top w:val="single" w:color="auto" w:sz="8" w:space="0"/>
              <w:left w:val="single" w:color="auto" w:sz="8" w:space="0"/>
              <w:bottom w:val="single" w:color="auto" w:sz="8" w:space="0"/>
              <w:right w:val="single" w:color="auto" w:sz="8" w:space="0"/>
            </w:tcBorders>
            <w:vAlign w:val="center"/>
          </w:tcPr>
          <w:p>
            <w:pPr>
              <w:keepNext/>
              <w:keepLines/>
              <w:rPr>
                <w:rFonts w:asciiTheme="minorEastAsia" w:hAnsiTheme="minorEastAsia" w:eastAsiaTheme="minorEastAsia"/>
                <w:szCs w:val="21"/>
              </w:rPr>
            </w:pPr>
          </w:p>
        </w:tc>
        <w:tc>
          <w:tcPr>
            <w:tcW w:w="1080"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szCs w:val="21"/>
              </w:rPr>
            </w:pPr>
          </w:p>
        </w:tc>
        <w:tc>
          <w:tcPr>
            <w:tcW w:w="1077"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szCs w:val="21"/>
              </w:rPr>
            </w:pPr>
          </w:p>
        </w:tc>
        <w:tc>
          <w:tcPr>
            <w:tcW w:w="1083" w:type="dxa"/>
            <w:tcBorders>
              <w:top w:val="single" w:color="auto" w:sz="8" w:space="0"/>
              <w:left w:val="single" w:color="auto" w:sz="8" w:space="0"/>
              <w:bottom w:val="single" w:color="auto" w:sz="8" w:space="0"/>
              <w:right w:val="single" w:color="auto" w:sz="12" w:space="0"/>
            </w:tcBorders>
            <w:vAlign w:val="center"/>
          </w:tcPr>
          <w:p>
            <w:pPr>
              <w:keepNext/>
              <w:keepLines/>
              <w:jc w:val="center"/>
              <w:rPr>
                <w:rFonts w:asciiTheme="minorEastAsia" w:hAnsiTheme="minorEastAsia" w:eastAsia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7" w:type="dxa"/>
            <w:tcBorders>
              <w:top w:val="single" w:color="auto" w:sz="8" w:space="0"/>
              <w:left w:val="single" w:color="auto" w:sz="12" w:space="0"/>
              <w:bottom w:val="single" w:color="auto" w:sz="8" w:space="0"/>
              <w:right w:val="single" w:color="auto" w:sz="8" w:space="0"/>
            </w:tcBorders>
            <w:vAlign w:val="center"/>
          </w:tcPr>
          <w:p>
            <w:pPr>
              <w:keepNext/>
              <w:keepLines/>
              <w:jc w:val="center"/>
              <w:rPr>
                <w:rFonts w:asciiTheme="minorEastAsia" w:hAnsiTheme="minorEastAsia" w:eastAsiaTheme="minorEastAsia"/>
                <w:szCs w:val="21"/>
              </w:rPr>
            </w:pPr>
          </w:p>
        </w:tc>
        <w:tc>
          <w:tcPr>
            <w:tcW w:w="898"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szCs w:val="21"/>
              </w:rPr>
            </w:pPr>
          </w:p>
        </w:tc>
        <w:tc>
          <w:tcPr>
            <w:tcW w:w="3420" w:type="dxa"/>
            <w:tcBorders>
              <w:top w:val="single" w:color="auto" w:sz="8" w:space="0"/>
              <w:left w:val="single" w:color="auto" w:sz="8" w:space="0"/>
              <w:bottom w:val="single" w:color="auto" w:sz="8" w:space="0"/>
              <w:right w:val="single" w:color="auto" w:sz="8" w:space="0"/>
            </w:tcBorders>
            <w:vAlign w:val="center"/>
          </w:tcPr>
          <w:p>
            <w:pPr>
              <w:keepNext/>
              <w:keepLines/>
              <w:rPr>
                <w:rFonts w:asciiTheme="minorEastAsia" w:hAnsiTheme="minorEastAsia" w:eastAsiaTheme="minorEastAsia"/>
                <w:szCs w:val="21"/>
              </w:rPr>
            </w:pPr>
          </w:p>
        </w:tc>
        <w:tc>
          <w:tcPr>
            <w:tcW w:w="1080"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szCs w:val="21"/>
              </w:rPr>
            </w:pPr>
          </w:p>
        </w:tc>
        <w:tc>
          <w:tcPr>
            <w:tcW w:w="1077"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szCs w:val="21"/>
              </w:rPr>
            </w:pPr>
          </w:p>
        </w:tc>
        <w:tc>
          <w:tcPr>
            <w:tcW w:w="1083" w:type="dxa"/>
            <w:tcBorders>
              <w:top w:val="single" w:color="auto" w:sz="8" w:space="0"/>
              <w:left w:val="single" w:color="auto" w:sz="8" w:space="0"/>
              <w:bottom w:val="single" w:color="auto" w:sz="8" w:space="0"/>
              <w:right w:val="single" w:color="auto" w:sz="12" w:space="0"/>
            </w:tcBorders>
            <w:vAlign w:val="center"/>
          </w:tcPr>
          <w:p>
            <w:pPr>
              <w:keepNext/>
              <w:keepLines/>
              <w:jc w:val="center"/>
              <w:rPr>
                <w:rFonts w:asciiTheme="minorEastAsia" w:hAnsiTheme="minorEastAsia" w:eastAsia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7" w:type="dxa"/>
            <w:tcBorders>
              <w:top w:val="single" w:color="auto" w:sz="8" w:space="0"/>
              <w:left w:val="single" w:color="auto" w:sz="12" w:space="0"/>
              <w:bottom w:val="single" w:color="auto" w:sz="12" w:space="0"/>
              <w:right w:val="single" w:color="auto" w:sz="8" w:space="0"/>
            </w:tcBorders>
            <w:vAlign w:val="center"/>
          </w:tcPr>
          <w:p>
            <w:pPr>
              <w:keepNext/>
              <w:keepLines/>
              <w:jc w:val="center"/>
              <w:rPr>
                <w:rFonts w:asciiTheme="minorEastAsia" w:hAnsiTheme="minorEastAsia" w:eastAsiaTheme="minorEastAsia"/>
                <w:szCs w:val="21"/>
              </w:rPr>
            </w:pPr>
          </w:p>
        </w:tc>
        <w:tc>
          <w:tcPr>
            <w:tcW w:w="898" w:type="dxa"/>
            <w:tcBorders>
              <w:top w:val="single" w:color="auto" w:sz="8" w:space="0"/>
              <w:left w:val="single" w:color="auto" w:sz="8" w:space="0"/>
              <w:bottom w:val="single" w:color="auto" w:sz="12" w:space="0"/>
              <w:right w:val="single" w:color="auto" w:sz="8" w:space="0"/>
            </w:tcBorders>
            <w:vAlign w:val="center"/>
          </w:tcPr>
          <w:p>
            <w:pPr>
              <w:keepNext/>
              <w:keepLines/>
              <w:jc w:val="center"/>
              <w:rPr>
                <w:rFonts w:asciiTheme="minorEastAsia" w:hAnsiTheme="minorEastAsia" w:eastAsiaTheme="minorEastAsia"/>
                <w:szCs w:val="21"/>
              </w:rPr>
            </w:pPr>
          </w:p>
        </w:tc>
        <w:tc>
          <w:tcPr>
            <w:tcW w:w="3420" w:type="dxa"/>
            <w:tcBorders>
              <w:top w:val="single" w:color="auto" w:sz="8" w:space="0"/>
              <w:left w:val="single" w:color="auto" w:sz="8" w:space="0"/>
              <w:bottom w:val="single" w:color="auto" w:sz="12" w:space="0"/>
              <w:right w:val="single" w:color="auto" w:sz="8" w:space="0"/>
            </w:tcBorders>
            <w:vAlign w:val="center"/>
          </w:tcPr>
          <w:p>
            <w:pPr>
              <w:keepNext/>
              <w:keepLines/>
              <w:rPr>
                <w:rFonts w:asciiTheme="minorEastAsia" w:hAnsiTheme="minorEastAsia" w:eastAsiaTheme="minorEastAsia"/>
                <w:szCs w:val="21"/>
              </w:rPr>
            </w:pPr>
          </w:p>
        </w:tc>
        <w:tc>
          <w:tcPr>
            <w:tcW w:w="1080" w:type="dxa"/>
            <w:tcBorders>
              <w:top w:val="single" w:color="auto" w:sz="8" w:space="0"/>
              <w:left w:val="single" w:color="auto" w:sz="8" w:space="0"/>
              <w:bottom w:val="single" w:color="auto" w:sz="12" w:space="0"/>
              <w:right w:val="single" w:color="auto" w:sz="8" w:space="0"/>
            </w:tcBorders>
            <w:vAlign w:val="center"/>
          </w:tcPr>
          <w:p>
            <w:pPr>
              <w:keepNext/>
              <w:keepLines/>
              <w:jc w:val="center"/>
              <w:rPr>
                <w:rFonts w:asciiTheme="minorEastAsia" w:hAnsiTheme="minorEastAsia" w:eastAsiaTheme="minorEastAsia"/>
                <w:szCs w:val="21"/>
              </w:rPr>
            </w:pPr>
          </w:p>
        </w:tc>
        <w:tc>
          <w:tcPr>
            <w:tcW w:w="1077" w:type="dxa"/>
            <w:tcBorders>
              <w:top w:val="single" w:color="auto" w:sz="8" w:space="0"/>
              <w:left w:val="single" w:color="auto" w:sz="8" w:space="0"/>
              <w:bottom w:val="single" w:color="auto" w:sz="12" w:space="0"/>
              <w:right w:val="single" w:color="auto" w:sz="8" w:space="0"/>
            </w:tcBorders>
            <w:vAlign w:val="center"/>
          </w:tcPr>
          <w:p>
            <w:pPr>
              <w:keepNext/>
              <w:keepLines/>
              <w:jc w:val="center"/>
              <w:rPr>
                <w:rFonts w:asciiTheme="minorEastAsia" w:hAnsiTheme="minorEastAsia" w:eastAsiaTheme="minorEastAsia"/>
                <w:szCs w:val="21"/>
              </w:rPr>
            </w:pPr>
          </w:p>
        </w:tc>
        <w:tc>
          <w:tcPr>
            <w:tcW w:w="1083" w:type="dxa"/>
            <w:tcBorders>
              <w:top w:val="single" w:color="auto" w:sz="8" w:space="0"/>
              <w:left w:val="single" w:color="auto" w:sz="8" w:space="0"/>
              <w:bottom w:val="single" w:color="auto" w:sz="12" w:space="0"/>
              <w:right w:val="single" w:color="auto" w:sz="12" w:space="0"/>
            </w:tcBorders>
            <w:vAlign w:val="center"/>
          </w:tcPr>
          <w:p>
            <w:pPr>
              <w:keepNext/>
              <w:keepLines/>
              <w:jc w:val="center"/>
              <w:rPr>
                <w:rFonts w:asciiTheme="minorEastAsia" w:hAnsiTheme="minorEastAsia" w:eastAsiaTheme="minorEastAsia"/>
                <w:szCs w:val="21"/>
              </w:rPr>
            </w:pPr>
          </w:p>
        </w:tc>
      </w:tr>
    </w:tbl>
    <w:p>
      <w:pPr>
        <w:rPr>
          <w:rFonts w:asciiTheme="minorEastAsia" w:hAnsiTheme="minorEastAsia" w:eastAsiaTheme="minorEastAsia"/>
          <w:bCs/>
          <w:kern w:val="0"/>
          <w:sz w:val="24"/>
          <w:shd w:val="pct10" w:color="auto" w:fill="FFFFFF"/>
        </w:rPr>
      </w:pPr>
      <w:r>
        <w:rPr>
          <w:rFonts w:hint="eastAsia" w:asciiTheme="minorEastAsia" w:hAnsiTheme="minorEastAsia" w:eastAsiaTheme="minorEastAsia"/>
          <w:bCs/>
          <w:kern w:val="0"/>
          <w:sz w:val="24"/>
          <w:shd w:val="pct10" w:color="auto" w:fill="FFFFFF"/>
        </w:rPr>
        <w:t>注：文档基本信息记录本文档提交时的当前有效的基本控制信息，当前版本文档注有效期将在新版本文档生效时自动结束。文档版本小于1.0 时，表示该版本文档为草案，仅可作为参照资料之目的。</w:t>
      </w:r>
    </w:p>
    <w:p>
      <w:pPr>
        <w:rPr>
          <w:rFonts w:asciiTheme="minorEastAsia" w:hAnsiTheme="minorEastAsia" w:eastAsiaTheme="minorEastAsia"/>
          <w:bCs/>
          <w:kern w:val="0"/>
          <w:sz w:val="24"/>
          <w:shd w:val="pct10" w:color="auto" w:fill="FFFFFF"/>
        </w:rPr>
      </w:pPr>
    </w:p>
    <w:p>
      <w:pPr>
        <w:rPr>
          <w:rFonts w:asciiTheme="minorEastAsia" w:hAnsiTheme="minorEastAsia" w:eastAsiaTheme="minorEastAsia"/>
          <w:bCs/>
          <w:kern w:val="0"/>
          <w:sz w:val="24"/>
          <w:shd w:val="pct10" w:color="auto" w:fill="FFFFFF"/>
        </w:rPr>
      </w:pPr>
    </w:p>
    <w:p>
      <w:pPr>
        <w:rPr>
          <w:rFonts w:asciiTheme="minorEastAsia" w:hAnsiTheme="minorEastAsia" w:eastAsiaTheme="minorEastAsia"/>
          <w:bCs/>
          <w:kern w:val="0"/>
          <w:sz w:val="24"/>
          <w:shd w:val="pct10" w:color="auto" w:fill="FFFFFF"/>
        </w:rPr>
      </w:pPr>
    </w:p>
    <w:p>
      <w:pPr>
        <w:rPr>
          <w:rFonts w:asciiTheme="minorEastAsia" w:hAnsiTheme="minorEastAsia" w:eastAsiaTheme="minorEastAsia"/>
          <w:bCs/>
          <w:kern w:val="0"/>
          <w:sz w:val="24"/>
          <w:shd w:val="pct10" w:color="auto" w:fill="FFFFFF"/>
        </w:rPr>
      </w:pPr>
    </w:p>
    <w:p>
      <w:pPr>
        <w:rPr>
          <w:rFonts w:asciiTheme="minorEastAsia" w:hAnsiTheme="minorEastAsia" w:eastAsiaTheme="minorEastAsia"/>
          <w:bCs/>
          <w:kern w:val="0"/>
          <w:sz w:val="24"/>
          <w:shd w:val="pct10" w:color="auto" w:fill="FFFFFF"/>
        </w:rPr>
      </w:pPr>
    </w:p>
    <w:p>
      <w:pPr>
        <w:rPr>
          <w:rFonts w:asciiTheme="minorEastAsia" w:hAnsiTheme="minorEastAsia" w:eastAsiaTheme="minorEastAsia"/>
          <w:bCs/>
          <w:kern w:val="0"/>
          <w:sz w:val="24"/>
          <w:shd w:val="pct10" w:color="auto" w:fill="FFFFFF"/>
        </w:rPr>
      </w:pPr>
    </w:p>
    <w:p>
      <w:pPr>
        <w:rPr>
          <w:rFonts w:asciiTheme="minorEastAsia" w:hAnsiTheme="minorEastAsia" w:eastAsiaTheme="minorEastAsia"/>
          <w:bCs/>
          <w:kern w:val="0"/>
          <w:sz w:val="24"/>
          <w:shd w:val="pct10" w:color="auto" w:fill="FFFFFF"/>
        </w:rPr>
      </w:pPr>
    </w:p>
    <w:p>
      <w:pPr>
        <w:spacing w:line="360" w:lineRule="auto"/>
        <w:rPr>
          <w:rFonts w:ascii="宋体" w:hAnsi="宋体"/>
          <w:sz w:val="24"/>
        </w:rPr>
      </w:pPr>
      <w:r>
        <w:rPr>
          <w:rFonts w:hint="eastAsia" w:ascii="宋体" w:hAnsi="宋体"/>
          <w:sz w:val="24"/>
        </w:rPr>
        <w:t>工程实施</w:t>
      </w:r>
    </w:p>
    <w:p>
      <w:pPr>
        <w:spacing w:line="360" w:lineRule="auto"/>
        <w:rPr>
          <w:rFonts w:ascii="宋体" w:hAnsi="宋体"/>
          <w:sz w:val="24"/>
        </w:rPr>
      </w:pPr>
      <w:r>
        <w:rPr>
          <w:rFonts w:hint="eastAsia" w:ascii="宋体" w:hAnsi="宋体"/>
          <w:sz w:val="24"/>
        </w:rPr>
        <w:t>为加强企业对工程项目实施过程中的管控，保证工程实施过程的合理、高效，特制订本管理制度：</w:t>
      </w:r>
    </w:p>
    <w:p>
      <w:pPr>
        <w:spacing w:line="360" w:lineRule="auto"/>
        <w:rPr>
          <w:rFonts w:ascii="宋体" w:hAnsi="宋体"/>
          <w:sz w:val="24"/>
        </w:rPr>
      </w:pPr>
      <w:r>
        <w:rPr>
          <w:rFonts w:hint="eastAsia" w:ascii="宋体" w:hAnsi="宋体"/>
          <w:sz w:val="24"/>
        </w:rPr>
        <w:t>1.</w:t>
      </w:r>
      <w:r>
        <w:rPr>
          <w:rFonts w:hint="eastAsia" w:ascii="宋体" w:hAnsi="宋体"/>
          <w:sz w:val="24"/>
        </w:rPr>
        <w:tab/>
      </w:r>
      <w:r>
        <w:rPr>
          <w:rFonts w:hint="eastAsia" w:ascii="宋体" w:hAnsi="宋体"/>
          <w:sz w:val="24"/>
        </w:rPr>
        <w:t>研发部门、基础设施及数据中心负责工程实施过程的管理；</w:t>
      </w:r>
    </w:p>
    <w:p>
      <w:pPr>
        <w:spacing w:line="360" w:lineRule="auto"/>
        <w:rPr>
          <w:rFonts w:ascii="宋体" w:hAnsi="宋体"/>
          <w:sz w:val="24"/>
        </w:rPr>
      </w:pPr>
      <w:r>
        <w:rPr>
          <w:rFonts w:hint="eastAsia" w:ascii="宋体" w:hAnsi="宋体"/>
          <w:sz w:val="24"/>
        </w:rPr>
        <w:t>2.</w:t>
      </w:r>
      <w:r>
        <w:rPr>
          <w:rFonts w:hint="eastAsia" w:ascii="宋体" w:hAnsi="宋体"/>
          <w:sz w:val="24"/>
        </w:rPr>
        <w:tab/>
      </w:r>
      <w:r>
        <w:rPr>
          <w:rFonts w:hint="eastAsia" w:ascii="宋体" w:hAnsi="宋体"/>
          <w:sz w:val="24"/>
        </w:rPr>
        <w:t>应确保选择的承建商具有国家或者市信息化主管部门的资质认证；</w:t>
      </w:r>
    </w:p>
    <w:p>
      <w:pPr>
        <w:spacing w:line="360" w:lineRule="auto"/>
        <w:rPr>
          <w:rFonts w:ascii="宋体" w:hAnsi="宋体"/>
          <w:sz w:val="24"/>
        </w:rPr>
      </w:pPr>
      <w:r>
        <w:rPr>
          <w:rFonts w:hint="eastAsia" w:ascii="宋体" w:hAnsi="宋体"/>
          <w:sz w:val="24"/>
        </w:rPr>
        <w:t>3.</w:t>
      </w:r>
      <w:r>
        <w:rPr>
          <w:rFonts w:hint="eastAsia" w:ascii="宋体" w:hAnsi="宋体"/>
          <w:sz w:val="24"/>
        </w:rPr>
        <w:tab/>
      </w:r>
      <w:r>
        <w:rPr>
          <w:rFonts w:hint="eastAsia" w:ascii="宋体" w:hAnsi="宋体"/>
          <w:sz w:val="24"/>
        </w:rPr>
        <w:t>应由专门的项目经理或项目管理部门负责或聘请第三方监理公司协助；</w:t>
      </w:r>
    </w:p>
    <w:p>
      <w:pPr>
        <w:spacing w:line="360" w:lineRule="auto"/>
        <w:rPr>
          <w:rFonts w:ascii="宋体" w:hAnsi="宋体"/>
          <w:sz w:val="24"/>
        </w:rPr>
      </w:pPr>
      <w:r>
        <w:rPr>
          <w:rFonts w:hint="eastAsia" w:ascii="宋体" w:hAnsi="宋体"/>
          <w:sz w:val="24"/>
        </w:rPr>
        <w:t>4.</w:t>
      </w:r>
      <w:r>
        <w:rPr>
          <w:rFonts w:hint="eastAsia" w:ascii="宋体" w:hAnsi="宋体"/>
          <w:sz w:val="24"/>
        </w:rPr>
        <w:tab/>
      </w:r>
      <w:r>
        <w:rPr>
          <w:rFonts w:hint="eastAsia" w:ascii="宋体" w:hAnsi="宋体"/>
          <w:sz w:val="24"/>
        </w:rPr>
        <w:t xml:space="preserve">自施工准备到竣工验收的各个环节，均需进行技术监督、过程控制和质量检验； </w:t>
      </w:r>
    </w:p>
    <w:p>
      <w:pPr>
        <w:spacing w:line="360" w:lineRule="auto"/>
        <w:rPr>
          <w:rFonts w:ascii="宋体" w:hAnsi="宋体"/>
          <w:sz w:val="24"/>
        </w:rPr>
      </w:pPr>
      <w:r>
        <w:rPr>
          <w:rFonts w:hint="eastAsia" w:ascii="宋体" w:hAnsi="宋体"/>
          <w:sz w:val="24"/>
        </w:rPr>
        <w:t>5.</w:t>
      </w:r>
      <w:r>
        <w:rPr>
          <w:rFonts w:hint="eastAsia" w:ascii="宋体" w:hAnsi="宋体"/>
          <w:sz w:val="24"/>
        </w:rPr>
        <w:tab/>
      </w:r>
      <w:r>
        <w:rPr>
          <w:rFonts w:hint="eastAsia" w:ascii="宋体" w:hAnsi="宋体"/>
          <w:sz w:val="24"/>
        </w:rPr>
        <w:t>应制定详细的工程实施方案控制实施过程，并要求工程实施单位能正式地执行安全工程过程；</w:t>
      </w:r>
    </w:p>
    <w:p>
      <w:pPr>
        <w:spacing w:line="360" w:lineRule="auto"/>
        <w:rPr>
          <w:rFonts w:ascii="宋体" w:hAnsi="宋体"/>
          <w:sz w:val="24"/>
        </w:rPr>
      </w:pPr>
      <w:r>
        <w:rPr>
          <w:rFonts w:hint="eastAsia" w:ascii="宋体" w:hAnsi="宋体"/>
          <w:sz w:val="24"/>
        </w:rPr>
        <w:t>6.</w:t>
      </w:r>
      <w:r>
        <w:rPr>
          <w:rFonts w:hint="eastAsia" w:ascii="宋体" w:hAnsi="宋体"/>
          <w:sz w:val="24"/>
        </w:rPr>
        <w:tab/>
      </w:r>
      <w:r>
        <w:rPr>
          <w:rFonts w:hint="eastAsia" w:ascii="宋体" w:hAnsi="宋体"/>
          <w:sz w:val="24"/>
        </w:rPr>
        <w:t>实行监理制度的工程项目，应充分发挥监理单位在施工活动中的监督管理作用，对工程质量、进度、投资进行有效控制；</w:t>
      </w:r>
    </w:p>
    <w:p>
      <w:pPr>
        <w:spacing w:line="360" w:lineRule="auto"/>
        <w:rPr>
          <w:rFonts w:ascii="宋体" w:hAnsi="宋体"/>
          <w:sz w:val="24"/>
        </w:rPr>
      </w:pPr>
      <w:r>
        <w:rPr>
          <w:rFonts w:hint="eastAsia" w:ascii="宋体" w:hAnsi="宋体"/>
          <w:sz w:val="24"/>
        </w:rPr>
        <w:t>7.</w:t>
      </w:r>
      <w:r>
        <w:rPr>
          <w:rFonts w:hint="eastAsia" w:ascii="宋体" w:hAnsi="宋体"/>
          <w:sz w:val="24"/>
        </w:rPr>
        <w:tab/>
      </w:r>
      <w:r>
        <w:rPr>
          <w:rFonts w:hint="eastAsia" w:ascii="宋体" w:hAnsi="宋体"/>
          <w:sz w:val="24"/>
        </w:rPr>
        <w:t xml:space="preserve">质量检查工作，应以自检为主，自检、互检与专职检查相结合的原则，按照现行的施工质量验收规范执行； </w:t>
      </w:r>
    </w:p>
    <w:p>
      <w:pPr>
        <w:spacing w:line="360" w:lineRule="auto"/>
        <w:rPr>
          <w:rFonts w:ascii="宋体" w:hAnsi="宋体"/>
          <w:sz w:val="24"/>
        </w:rPr>
      </w:pPr>
      <w:r>
        <w:rPr>
          <w:rFonts w:hint="eastAsia" w:ascii="宋体" w:hAnsi="宋体"/>
          <w:sz w:val="24"/>
        </w:rPr>
        <w:t>8.</w:t>
      </w:r>
      <w:r>
        <w:rPr>
          <w:rFonts w:hint="eastAsia" w:ascii="宋体" w:hAnsi="宋体"/>
          <w:sz w:val="24"/>
        </w:rPr>
        <w:tab/>
      </w:r>
      <w:r>
        <w:rPr>
          <w:rFonts w:hint="eastAsia" w:ascii="宋体" w:hAnsi="宋体"/>
          <w:sz w:val="24"/>
        </w:rPr>
        <w:t>施工过程中工程管理人员应完成以下职责：</w:t>
      </w:r>
    </w:p>
    <w:p>
      <w:pPr>
        <w:spacing w:line="360" w:lineRule="auto"/>
        <w:rPr>
          <w:rFonts w:ascii="宋体" w:hAnsi="宋体"/>
          <w:sz w:val="24"/>
        </w:rPr>
      </w:pPr>
      <w:r>
        <w:rPr>
          <w:rFonts w:hint="eastAsia" w:ascii="宋体" w:hAnsi="宋体"/>
          <w:sz w:val="24"/>
        </w:rPr>
        <w:t>1)</w:t>
      </w:r>
      <w:r>
        <w:rPr>
          <w:rFonts w:hint="eastAsia" w:ascii="宋体" w:hAnsi="宋体"/>
          <w:sz w:val="24"/>
        </w:rPr>
        <w:tab/>
      </w:r>
      <w:r>
        <w:rPr>
          <w:rFonts w:hint="eastAsia" w:ascii="宋体" w:hAnsi="宋体"/>
          <w:sz w:val="24"/>
        </w:rPr>
        <w:t>认真贯彻与执行国家基本建设方面的政策、法令、法规和要求，严格执行基本建设程序；</w:t>
      </w:r>
    </w:p>
    <w:p>
      <w:pPr>
        <w:spacing w:line="360" w:lineRule="auto"/>
        <w:rPr>
          <w:rFonts w:ascii="宋体" w:hAnsi="宋体"/>
          <w:sz w:val="24"/>
        </w:rPr>
      </w:pPr>
      <w:r>
        <w:rPr>
          <w:rFonts w:hint="eastAsia" w:ascii="宋体" w:hAnsi="宋体"/>
          <w:sz w:val="24"/>
        </w:rPr>
        <w:t>2)</w:t>
      </w:r>
      <w:r>
        <w:rPr>
          <w:rFonts w:hint="eastAsia" w:ascii="宋体" w:hAnsi="宋体"/>
          <w:sz w:val="24"/>
        </w:rPr>
        <w:tab/>
      </w:r>
      <w:r>
        <w:rPr>
          <w:rFonts w:hint="eastAsia" w:ascii="宋体" w:hAnsi="宋体"/>
          <w:sz w:val="24"/>
        </w:rPr>
        <w:t>认真搜集有关资料，参与调研与技术论证，为编审工作提供证据；</w:t>
      </w:r>
    </w:p>
    <w:p>
      <w:pPr>
        <w:spacing w:line="360" w:lineRule="auto"/>
        <w:rPr>
          <w:rFonts w:ascii="宋体" w:hAnsi="宋体"/>
          <w:sz w:val="24"/>
        </w:rPr>
      </w:pPr>
      <w:r>
        <w:rPr>
          <w:rFonts w:hint="eastAsia" w:ascii="宋体" w:hAnsi="宋体"/>
          <w:sz w:val="24"/>
        </w:rPr>
        <w:t>3)</w:t>
      </w:r>
      <w:r>
        <w:rPr>
          <w:rFonts w:hint="eastAsia" w:ascii="宋体" w:hAnsi="宋体"/>
          <w:sz w:val="24"/>
        </w:rPr>
        <w:tab/>
      </w:r>
      <w:r>
        <w:rPr>
          <w:rFonts w:hint="eastAsia" w:ascii="宋体" w:hAnsi="宋体"/>
          <w:sz w:val="24"/>
        </w:rPr>
        <w:t>组织设计、施工及有关单位进行施工图纸会审和技术交底；</w:t>
      </w:r>
    </w:p>
    <w:p>
      <w:pPr>
        <w:spacing w:line="360" w:lineRule="auto"/>
        <w:rPr>
          <w:rFonts w:ascii="宋体" w:hAnsi="宋体"/>
          <w:sz w:val="24"/>
        </w:rPr>
      </w:pPr>
      <w:r>
        <w:rPr>
          <w:rFonts w:hint="eastAsia" w:ascii="宋体" w:hAnsi="宋体"/>
          <w:sz w:val="24"/>
        </w:rPr>
        <w:t>4)</w:t>
      </w:r>
      <w:r>
        <w:rPr>
          <w:rFonts w:hint="eastAsia" w:ascii="宋体" w:hAnsi="宋体"/>
          <w:sz w:val="24"/>
        </w:rPr>
        <w:tab/>
      </w:r>
      <w:r>
        <w:rPr>
          <w:rFonts w:hint="eastAsia" w:ascii="宋体" w:hAnsi="宋体"/>
          <w:sz w:val="24"/>
        </w:rPr>
        <w:t>做好施工前的准备工作，为工程及时开工和顺利施工创造必要条件；</w:t>
      </w:r>
    </w:p>
    <w:p>
      <w:pPr>
        <w:spacing w:line="360" w:lineRule="auto"/>
        <w:rPr>
          <w:rFonts w:ascii="宋体" w:hAnsi="宋体"/>
          <w:sz w:val="24"/>
        </w:rPr>
      </w:pPr>
      <w:r>
        <w:rPr>
          <w:rFonts w:hint="eastAsia" w:ascii="宋体" w:hAnsi="宋体"/>
          <w:sz w:val="24"/>
        </w:rPr>
        <w:t>5)</w:t>
      </w:r>
      <w:r>
        <w:rPr>
          <w:rFonts w:hint="eastAsia" w:ascii="宋体" w:hAnsi="宋体"/>
          <w:sz w:val="24"/>
        </w:rPr>
        <w:tab/>
      </w:r>
      <w:r>
        <w:rPr>
          <w:rFonts w:hint="eastAsia" w:ascii="宋体" w:hAnsi="宋体"/>
          <w:sz w:val="24"/>
        </w:rPr>
        <w:t>做好施工现场管理，主要是施工技术管理、工程质量的检查与监督工作；</w:t>
      </w:r>
    </w:p>
    <w:p>
      <w:pPr>
        <w:spacing w:line="360" w:lineRule="auto"/>
        <w:rPr>
          <w:rFonts w:ascii="宋体" w:hAnsi="宋体"/>
          <w:sz w:val="24"/>
        </w:rPr>
      </w:pPr>
      <w:r>
        <w:rPr>
          <w:rFonts w:hint="eastAsia" w:ascii="宋体" w:hAnsi="宋体"/>
          <w:sz w:val="24"/>
        </w:rPr>
        <w:t>6)</w:t>
      </w:r>
      <w:r>
        <w:rPr>
          <w:rFonts w:hint="eastAsia" w:ascii="宋体" w:hAnsi="宋体"/>
          <w:sz w:val="24"/>
        </w:rPr>
        <w:tab/>
      </w:r>
      <w:r>
        <w:rPr>
          <w:rFonts w:hint="eastAsia" w:ascii="宋体" w:hAnsi="宋体"/>
          <w:sz w:val="24"/>
        </w:rPr>
        <w:t>审查施工组织设计和整体施工方案；</w:t>
      </w:r>
    </w:p>
    <w:p>
      <w:pPr>
        <w:spacing w:line="360" w:lineRule="auto"/>
        <w:rPr>
          <w:rFonts w:hint="eastAsia" w:ascii="宋体" w:hAnsi="宋体"/>
          <w:sz w:val="24"/>
        </w:rPr>
      </w:pPr>
      <w:r>
        <w:rPr>
          <w:rFonts w:hint="eastAsia" w:ascii="宋体" w:hAnsi="宋体"/>
          <w:sz w:val="24"/>
        </w:rPr>
        <w:t>7)</w:t>
      </w:r>
      <w:r>
        <w:rPr>
          <w:rFonts w:hint="eastAsia" w:ascii="宋体" w:hAnsi="宋体"/>
          <w:sz w:val="24"/>
        </w:rPr>
        <w:tab/>
      </w:r>
      <w:r>
        <w:rPr>
          <w:rFonts w:hint="eastAsia" w:ascii="宋体" w:hAnsi="宋体"/>
          <w:sz w:val="24"/>
        </w:rPr>
        <w:t>严格执行与施工单位签订的施工合同，并及时检查监督合同的执行；</w:t>
      </w: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rPr>
          <w:rFonts w:ascii="宋体" w:hAnsi="宋体"/>
          <w:sz w:val="24"/>
        </w:rPr>
      </w:pPr>
    </w:p>
    <w:p>
      <w:pPr>
        <w:spacing w:line="360" w:lineRule="auto"/>
        <w:rPr>
          <w:rFonts w:ascii="宋体" w:hAnsi="宋体"/>
          <w:sz w:val="24"/>
        </w:rPr>
      </w:pPr>
      <w:r>
        <w:rPr>
          <w:rFonts w:hint="eastAsia" w:ascii="宋体" w:hAnsi="宋体"/>
          <w:sz w:val="24"/>
        </w:rPr>
        <w:t>测试验收</w:t>
      </w:r>
    </w:p>
    <w:p>
      <w:pPr>
        <w:spacing w:line="360" w:lineRule="auto"/>
        <w:rPr>
          <w:rFonts w:ascii="宋体" w:hAnsi="宋体"/>
          <w:sz w:val="24"/>
        </w:rPr>
      </w:pPr>
      <w:r>
        <w:rPr>
          <w:rFonts w:hint="eastAsia" w:ascii="宋体" w:hAnsi="宋体"/>
          <w:sz w:val="24"/>
        </w:rPr>
        <w:t>1.</w:t>
      </w:r>
      <w:r>
        <w:rPr>
          <w:rFonts w:hint="eastAsia" w:ascii="宋体" w:hAnsi="宋体"/>
          <w:sz w:val="24"/>
        </w:rPr>
        <w:tab/>
      </w:r>
      <w:r>
        <w:rPr>
          <w:rFonts w:hint="eastAsia" w:ascii="宋体" w:hAnsi="宋体"/>
          <w:sz w:val="24"/>
        </w:rPr>
        <w:t>系统测试验收过程中，测试验收的标准至少需要保证功能和安全两方面满足要求，测试工作要由专门人员或部门负责；</w:t>
      </w:r>
    </w:p>
    <w:p>
      <w:pPr>
        <w:spacing w:line="360" w:lineRule="auto"/>
        <w:rPr>
          <w:rFonts w:ascii="宋体" w:hAnsi="宋体"/>
          <w:sz w:val="24"/>
        </w:rPr>
      </w:pPr>
      <w:r>
        <w:rPr>
          <w:rFonts w:hint="eastAsia" w:ascii="宋体" w:hAnsi="宋体"/>
          <w:sz w:val="24"/>
        </w:rPr>
        <w:t>1)</w:t>
      </w:r>
      <w:r>
        <w:rPr>
          <w:rFonts w:hint="eastAsia" w:ascii="宋体" w:hAnsi="宋体"/>
          <w:sz w:val="24"/>
        </w:rPr>
        <w:tab/>
      </w:r>
      <w:r>
        <w:rPr>
          <w:rFonts w:hint="eastAsia" w:ascii="宋体" w:hAnsi="宋体"/>
          <w:sz w:val="24"/>
        </w:rPr>
        <w:t>项目承担单位应按照本办法规定的检查内容要求建立自我检查制度，在对信息系统软件开发和数据库建设的每个阶段和重要技术环节之后都必须进行认真检查，达到规定的系统应用和数据质量控制要求，满足信息业务的需要，并将自检的有关材料报项目组织实施单位备案；</w:t>
      </w:r>
    </w:p>
    <w:p>
      <w:pPr>
        <w:spacing w:line="360" w:lineRule="auto"/>
        <w:rPr>
          <w:rFonts w:ascii="宋体" w:hAnsi="宋体"/>
          <w:sz w:val="24"/>
        </w:rPr>
      </w:pPr>
      <w:r>
        <w:rPr>
          <w:rFonts w:hint="eastAsia" w:ascii="宋体" w:hAnsi="宋体"/>
          <w:sz w:val="24"/>
        </w:rPr>
        <w:t>2)</w:t>
      </w:r>
      <w:r>
        <w:rPr>
          <w:rFonts w:hint="eastAsia" w:ascii="宋体" w:hAnsi="宋体"/>
          <w:sz w:val="24"/>
        </w:rPr>
        <w:tab/>
      </w:r>
      <w:r>
        <w:rPr>
          <w:rFonts w:hint="eastAsia" w:ascii="宋体" w:hAnsi="宋体"/>
          <w:sz w:val="24"/>
        </w:rPr>
        <w:t>系统软件开发完成后，由项目承担单位向项目组织实施单位提出书面预检申请，经过审查同意后，由项目组织实施单位组织专家进行预检，并提交预检报告；</w:t>
      </w:r>
    </w:p>
    <w:p>
      <w:pPr>
        <w:spacing w:line="360" w:lineRule="auto"/>
        <w:rPr>
          <w:rFonts w:ascii="宋体" w:hAnsi="宋体"/>
          <w:sz w:val="24"/>
        </w:rPr>
      </w:pPr>
      <w:r>
        <w:rPr>
          <w:rFonts w:hint="eastAsia" w:ascii="宋体" w:hAnsi="宋体"/>
          <w:sz w:val="24"/>
        </w:rPr>
        <w:t>3)</w:t>
      </w:r>
      <w:r>
        <w:rPr>
          <w:rFonts w:hint="eastAsia" w:ascii="宋体" w:hAnsi="宋体"/>
          <w:sz w:val="24"/>
        </w:rPr>
        <w:tab/>
      </w:r>
      <w:r>
        <w:rPr>
          <w:rFonts w:hint="eastAsia" w:ascii="宋体" w:hAnsi="宋体"/>
          <w:sz w:val="24"/>
        </w:rPr>
        <w:t>系统软件预检合格后，由项目组织实施单位向项目批准单位提出书面验收申请，经审查批准后，由项目批准单位组织专家进行验收，并提交验收报告。</w:t>
      </w:r>
    </w:p>
    <w:p>
      <w:pPr>
        <w:spacing w:line="360" w:lineRule="auto"/>
        <w:rPr>
          <w:rFonts w:ascii="宋体" w:hAnsi="宋体"/>
          <w:sz w:val="24"/>
        </w:rPr>
      </w:pPr>
      <w:r>
        <w:rPr>
          <w:rFonts w:hint="eastAsia" w:ascii="宋体" w:hAnsi="宋体"/>
          <w:sz w:val="24"/>
        </w:rPr>
        <w:t>2.</w:t>
      </w:r>
      <w:r>
        <w:rPr>
          <w:rFonts w:hint="eastAsia" w:ascii="宋体" w:hAnsi="宋体"/>
          <w:sz w:val="24"/>
        </w:rPr>
        <w:tab/>
      </w:r>
      <w:r>
        <w:rPr>
          <w:rFonts w:hint="eastAsia" w:ascii="宋体" w:hAnsi="宋体"/>
          <w:sz w:val="24"/>
        </w:rPr>
        <w:t>对于自身缺少测试能力的项目需要委托第三方公司帮助完成测试工作；</w:t>
      </w:r>
    </w:p>
    <w:p>
      <w:pPr>
        <w:spacing w:line="360" w:lineRule="auto"/>
        <w:rPr>
          <w:rFonts w:ascii="宋体" w:hAnsi="宋体"/>
          <w:sz w:val="24"/>
        </w:rPr>
      </w:pPr>
      <w:r>
        <w:rPr>
          <w:rFonts w:hint="eastAsia" w:ascii="宋体" w:hAnsi="宋体"/>
          <w:sz w:val="24"/>
        </w:rPr>
        <w:t>1)</w:t>
      </w:r>
      <w:r>
        <w:rPr>
          <w:rFonts w:hint="eastAsia" w:ascii="宋体" w:hAnsi="宋体"/>
          <w:sz w:val="24"/>
        </w:rPr>
        <w:tab/>
      </w:r>
      <w:r>
        <w:rPr>
          <w:rFonts w:hint="eastAsia" w:ascii="宋体" w:hAnsi="宋体"/>
          <w:sz w:val="24"/>
        </w:rPr>
        <w:t>委托公正的第三方测试单位对系统进行安全性测试，并出具安全性测试报告；</w:t>
      </w:r>
    </w:p>
    <w:p>
      <w:pPr>
        <w:spacing w:line="360" w:lineRule="auto"/>
        <w:rPr>
          <w:rFonts w:ascii="宋体" w:hAnsi="宋体"/>
          <w:sz w:val="24"/>
        </w:rPr>
      </w:pPr>
      <w:r>
        <w:rPr>
          <w:rFonts w:hint="eastAsia" w:ascii="宋体" w:hAnsi="宋体"/>
          <w:sz w:val="24"/>
        </w:rPr>
        <w:t>2)</w:t>
      </w:r>
      <w:r>
        <w:rPr>
          <w:rFonts w:hint="eastAsia" w:ascii="宋体" w:hAnsi="宋体"/>
          <w:sz w:val="24"/>
        </w:rPr>
        <w:tab/>
      </w:r>
      <w:r>
        <w:rPr>
          <w:rFonts w:hint="eastAsia" w:ascii="宋体" w:hAnsi="宋体"/>
          <w:sz w:val="24"/>
        </w:rPr>
        <w:t>在测试验收前，根据设计方案或合同要求等制订测试验收方案，在测试验收过程中详细记录测试验收结果，并形成测试验收报告；</w:t>
      </w:r>
    </w:p>
    <w:p>
      <w:pPr>
        <w:spacing w:line="360" w:lineRule="auto"/>
        <w:rPr>
          <w:rFonts w:ascii="宋体" w:hAnsi="宋体"/>
          <w:sz w:val="24"/>
        </w:rPr>
      </w:pPr>
      <w:r>
        <w:rPr>
          <w:rFonts w:hint="eastAsia" w:ascii="宋体" w:hAnsi="宋体"/>
          <w:sz w:val="24"/>
        </w:rPr>
        <w:t>3)</w:t>
      </w:r>
      <w:r>
        <w:rPr>
          <w:rFonts w:hint="eastAsia" w:ascii="宋体" w:hAnsi="宋体"/>
          <w:sz w:val="24"/>
        </w:rPr>
        <w:tab/>
      </w:r>
      <w:r>
        <w:rPr>
          <w:rFonts w:hint="eastAsia" w:ascii="宋体" w:hAnsi="宋体"/>
          <w:sz w:val="24"/>
        </w:rPr>
        <w:t>对系统测试验收的控制方法和人员行为准则进行书面规定；</w:t>
      </w:r>
    </w:p>
    <w:p>
      <w:pPr>
        <w:spacing w:line="360" w:lineRule="auto"/>
        <w:rPr>
          <w:rFonts w:ascii="宋体" w:hAnsi="宋体"/>
          <w:sz w:val="24"/>
        </w:rPr>
      </w:pPr>
      <w:r>
        <w:rPr>
          <w:rFonts w:hint="eastAsia" w:ascii="宋体" w:hAnsi="宋体"/>
          <w:sz w:val="24"/>
        </w:rPr>
        <w:t>4)</w:t>
      </w:r>
      <w:r>
        <w:rPr>
          <w:rFonts w:hint="eastAsia" w:ascii="宋体" w:hAnsi="宋体"/>
          <w:sz w:val="24"/>
        </w:rPr>
        <w:tab/>
      </w:r>
      <w:r>
        <w:rPr>
          <w:rFonts w:hint="eastAsia" w:ascii="宋体" w:hAnsi="宋体"/>
          <w:sz w:val="24"/>
        </w:rPr>
        <w:t>指定或授权专门的部门负责系统测试验收的管理，并按照管理规定的要求完成系统测试验收工作；</w:t>
      </w:r>
    </w:p>
    <w:p>
      <w:pPr>
        <w:spacing w:line="360" w:lineRule="auto"/>
        <w:rPr>
          <w:rFonts w:ascii="宋体" w:hAnsi="宋体"/>
          <w:sz w:val="24"/>
        </w:rPr>
      </w:pPr>
      <w:r>
        <w:rPr>
          <w:rFonts w:hint="eastAsia" w:ascii="宋体" w:hAnsi="宋体"/>
          <w:sz w:val="24"/>
        </w:rPr>
        <w:t>5)</w:t>
      </w:r>
      <w:r>
        <w:rPr>
          <w:rFonts w:hint="eastAsia" w:ascii="宋体" w:hAnsi="宋体"/>
          <w:sz w:val="24"/>
        </w:rPr>
        <w:tab/>
      </w:r>
      <w:r>
        <w:rPr>
          <w:rFonts w:hint="eastAsia" w:ascii="宋体" w:hAnsi="宋体"/>
          <w:sz w:val="24"/>
        </w:rPr>
        <w:t>组织相关部门和相关人员对系统测试验收报告进行审定，并签字确认。</w:t>
      </w:r>
    </w:p>
    <w:p>
      <w:pPr>
        <w:spacing w:line="360" w:lineRule="auto"/>
        <w:rPr>
          <w:rFonts w:ascii="宋体" w:hAnsi="宋体"/>
          <w:sz w:val="24"/>
        </w:rPr>
      </w:pPr>
      <w:r>
        <w:rPr>
          <w:rFonts w:hint="eastAsia" w:ascii="宋体" w:hAnsi="宋体"/>
          <w:sz w:val="24"/>
        </w:rPr>
        <w:t>3.</w:t>
      </w:r>
      <w:r>
        <w:rPr>
          <w:rFonts w:hint="eastAsia" w:ascii="宋体" w:hAnsi="宋体"/>
          <w:sz w:val="24"/>
        </w:rPr>
        <w:tab/>
      </w:r>
      <w:r>
        <w:rPr>
          <w:rFonts w:hint="eastAsia" w:ascii="宋体" w:hAnsi="宋体"/>
          <w:sz w:val="24"/>
        </w:rPr>
        <w:t>为确保系统的正常测试验收，需满足以下规定：</w:t>
      </w:r>
    </w:p>
    <w:p>
      <w:pPr>
        <w:spacing w:line="360" w:lineRule="auto"/>
        <w:rPr>
          <w:rFonts w:ascii="宋体" w:hAnsi="宋体"/>
          <w:sz w:val="24"/>
        </w:rPr>
      </w:pPr>
      <w:r>
        <w:rPr>
          <w:rFonts w:hint="eastAsia" w:ascii="宋体" w:hAnsi="宋体"/>
          <w:sz w:val="24"/>
        </w:rPr>
        <w:t>1)</w:t>
      </w:r>
      <w:r>
        <w:rPr>
          <w:rFonts w:hint="eastAsia" w:ascii="宋体" w:hAnsi="宋体"/>
          <w:sz w:val="24"/>
        </w:rPr>
        <w:tab/>
      </w:r>
      <w:r>
        <w:rPr>
          <w:rFonts w:hint="eastAsia" w:ascii="宋体" w:hAnsi="宋体"/>
          <w:sz w:val="24"/>
        </w:rPr>
        <w:t>测试验收单位及其主要负责人应当对系统测试验收报告结论负责；</w:t>
      </w:r>
    </w:p>
    <w:p>
      <w:pPr>
        <w:spacing w:line="360" w:lineRule="auto"/>
        <w:rPr>
          <w:rFonts w:ascii="宋体" w:hAnsi="宋体"/>
          <w:sz w:val="24"/>
        </w:rPr>
      </w:pPr>
      <w:r>
        <w:rPr>
          <w:rFonts w:hint="eastAsia" w:ascii="宋体" w:hAnsi="宋体"/>
          <w:sz w:val="24"/>
        </w:rPr>
        <w:t>2)</w:t>
      </w:r>
      <w:r>
        <w:rPr>
          <w:rFonts w:hint="eastAsia" w:ascii="宋体" w:hAnsi="宋体"/>
          <w:sz w:val="24"/>
        </w:rPr>
        <w:tab/>
      </w:r>
      <w:r>
        <w:rPr>
          <w:rFonts w:hint="eastAsia" w:ascii="宋体" w:hAnsi="宋体"/>
          <w:sz w:val="24"/>
        </w:rPr>
        <w:t>建立严格的质量审核制度和质量保证体系，严格按照国家有关法律法规规章、技术规范和技术要求，开展测试验收工作和编制测试验收报告，并接受相关人员的日常监督检查；</w:t>
      </w:r>
    </w:p>
    <w:p>
      <w:pPr>
        <w:spacing w:line="360" w:lineRule="auto"/>
        <w:rPr>
          <w:rFonts w:ascii="宋体" w:hAnsi="宋体"/>
          <w:sz w:val="24"/>
        </w:rPr>
      </w:pPr>
      <w:r>
        <w:rPr>
          <w:rFonts w:hint="eastAsia" w:ascii="宋体" w:hAnsi="宋体"/>
          <w:sz w:val="24"/>
        </w:rPr>
        <w:t>3)</w:t>
      </w:r>
      <w:r>
        <w:rPr>
          <w:rFonts w:hint="eastAsia" w:ascii="宋体" w:hAnsi="宋体"/>
          <w:sz w:val="24"/>
        </w:rPr>
        <w:tab/>
      </w:r>
      <w:r>
        <w:rPr>
          <w:rFonts w:hint="eastAsia" w:ascii="宋体" w:hAnsi="宋体"/>
          <w:sz w:val="24"/>
        </w:rPr>
        <w:t>验收测试报告应当如实反映系统安全状况；</w:t>
      </w:r>
    </w:p>
    <w:p>
      <w:pPr>
        <w:spacing w:line="360" w:lineRule="auto"/>
        <w:rPr>
          <w:rFonts w:ascii="宋体" w:hAnsi="宋体"/>
          <w:sz w:val="24"/>
        </w:rPr>
      </w:pPr>
      <w:r>
        <w:rPr>
          <w:rFonts w:hint="eastAsia" w:ascii="宋体" w:hAnsi="宋体"/>
          <w:sz w:val="24"/>
        </w:rPr>
        <w:t>4)</w:t>
      </w:r>
      <w:r>
        <w:rPr>
          <w:rFonts w:hint="eastAsia" w:ascii="宋体" w:hAnsi="宋体"/>
          <w:sz w:val="24"/>
        </w:rPr>
        <w:tab/>
      </w:r>
      <w:r>
        <w:rPr>
          <w:rFonts w:hint="eastAsia" w:ascii="宋体" w:hAnsi="宋体"/>
          <w:sz w:val="24"/>
        </w:rPr>
        <w:t>禁止泄露信息系统相关机密信息；</w:t>
      </w:r>
    </w:p>
    <w:p>
      <w:pPr>
        <w:spacing w:line="360" w:lineRule="auto"/>
        <w:rPr>
          <w:rFonts w:ascii="宋体" w:hAnsi="宋体"/>
          <w:sz w:val="24"/>
        </w:rPr>
      </w:pPr>
      <w:r>
        <w:rPr>
          <w:rFonts w:hint="eastAsia" w:ascii="宋体" w:hAnsi="宋体"/>
          <w:sz w:val="24"/>
        </w:rPr>
        <w:t>5)</w:t>
      </w:r>
      <w:r>
        <w:rPr>
          <w:rFonts w:hint="eastAsia" w:ascii="宋体" w:hAnsi="宋体"/>
          <w:sz w:val="24"/>
        </w:rPr>
        <w:tab/>
      </w:r>
      <w:r>
        <w:rPr>
          <w:rFonts w:hint="eastAsia" w:ascii="宋体" w:hAnsi="宋体"/>
          <w:sz w:val="24"/>
        </w:rPr>
        <w:t>在验收监测或调查过程中不得隐瞒真实情况、提供虚假材料、编造数据或者实施其他弄虚作假行为；</w:t>
      </w:r>
    </w:p>
    <w:p>
      <w:pPr>
        <w:spacing w:line="360" w:lineRule="auto"/>
        <w:rPr>
          <w:rFonts w:ascii="宋体" w:hAnsi="宋体"/>
          <w:sz w:val="24"/>
        </w:rPr>
      </w:pPr>
      <w:r>
        <w:rPr>
          <w:rFonts w:hint="eastAsia" w:ascii="宋体" w:hAnsi="宋体"/>
          <w:sz w:val="24"/>
        </w:rPr>
        <w:t>6)</w:t>
      </w:r>
      <w:r>
        <w:rPr>
          <w:rFonts w:hint="eastAsia" w:ascii="宋体" w:hAnsi="宋体"/>
          <w:sz w:val="24"/>
        </w:rPr>
        <w:tab/>
      </w:r>
      <w:r>
        <w:rPr>
          <w:rFonts w:hint="eastAsia" w:ascii="宋体" w:hAnsi="宋体"/>
          <w:sz w:val="24"/>
        </w:rPr>
        <w:t>测试验收行为应当严格遵守国家和地方有关规定。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86"/>
    <w:family w:val="auto"/>
    <w:pitch w:val="default"/>
    <w:sig w:usb0="00000000" w:usb1="00000000" w:usb2="00000016" w:usb3="00000000" w:csb0="0004000F" w:csb1="00000000"/>
  </w:font>
  <w:font w:name="等线 Light">
    <w:altName w:val="Arial Unicode MS"/>
    <w:panose1 w:val="00000000000000000000"/>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67F"/>
    <w:rsid w:val="00160919"/>
    <w:rsid w:val="002C3359"/>
    <w:rsid w:val="0054167F"/>
    <w:rsid w:val="006730E8"/>
    <w:rsid w:val="00C36E55"/>
    <w:rsid w:val="33227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rFonts w:ascii="Times New Roman" w:hAnsi="Times New Roman" w:eastAsia="宋体" w:cs="Times New Roman"/>
      <w:sz w:val="18"/>
      <w:szCs w:val="18"/>
    </w:rPr>
  </w:style>
  <w:style w:type="character" w:customStyle="1" w:styleId="7">
    <w:name w:val="页脚 Char"/>
    <w:basedOn w:val="4"/>
    <w:link w:val="2"/>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256</Words>
  <Characters>1465</Characters>
  <Lines>12</Lines>
  <Paragraphs>3</Paragraphs>
  <TotalTime>0</TotalTime>
  <ScaleCrop>false</ScaleCrop>
  <LinksUpToDate>false</LinksUpToDate>
  <CharactersWithSpaces>1718</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2017-03-19T11:20:00Z</dcterms:created>
  <dc:creator>Yolkok</dc:creator>
  <cp:lastModifiedBy>Administrator</cp:lastModifiedBy>
  <dcterms:modified xsi:type="dcterms:W3CDTF">2017-11-30T06:57:07Z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