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bCs/>
          <w:sz w:val="48"/>
          <w:szCs w:val="48"/>
          <w:lang w:eastAsia="zh-CN"/>
        </w:rPr>
      </w:pPr>
      <w:r>
        <w:rPr>
          <w:rFonts w:hint="eastAsia" w:asciiTheme="minorEastAsia" w:hAnsiTheme="minorEastAsia"/>
          <w:b/>
          <w:bCs/>
          <w:sz w:val="48"/>
          <w:szCs w:val="48"/>
          <w:lang w:eastAsia="zh-CN"/>
        </w:rPr>
        <w:t>北京汇聚融达网络科技有限公司</w:t>
      </w: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bCs/>
          <w:sz w:val="48"/>
          <w:szCs w:val="48"/>
        </w:rPr>
        <w:t>—变更管理制度</w:t>
      </w:r>
    </w:p>
    <w:p>
      <w:pPr>
        <w:rPr>
          <w:rFonts w:asciiTheme="minorEastAsia" w:hAnsiTheme="minorEastAsia" w:eastAsiaTheme="minorEastAsia"/>
          <w:b/>
          <w:bCs/>
          <w:sz w:val="48"/>
          <w:szCs w:val="48"/>
        </w:rPr>
      </w:pPr>
      <w:bookmarkStart w:id="0" w:name="_Toc186516935"/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</w:pPr>
      <w:bookmarkStart w:id="1" w:name="_Toc186526452"/>
      <w:r>
        <w:rPr>
          <w:rFonts w:asciiTheme="minorEastAsia" w:hAnsiTheme="minorEastAsia" w:eastAsiaTheme="minorEastAsia"/>
          <w:b/>
          <w:bCs/>
          <w:sz w:val="32"/>
          <w:szCs w:val="32"/>
        </w:rPr>
        <w:t>文件编码：</w:t>
      </w:r>
      <w:bookmarkEnd w:id="0"/>
      <w:bookmarkEnd w:id="1"/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HJRD</w:t>
      </w:r>
      <w:r>
        <w:rPr>
          <w:rFonts w:asciiTheme="minorEastAsia" w:hAnsiTheme="minorEastAsia" w:eastAsiaTheme="minorEastAsia"/>
          <w:b/>
          <w:bCs/>
          <w:sz w:val="32"/>
          <w:szCs w:val="32"/>
        </w:rPr>
        <w:t>-5-08</w:t>
      </w:r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</w:pPr>
      <w:bookmarkStart w:id="2" w:name="_Toc186516936"/>
      <w:bookmarkStart w:id="3" w:name="_Toc186526453"/>
      <w:r>
        <w:rPr>
          <w:rFonts w:asciiTheme="minorEastAsia" w:hAnsiTheme="minorEastAsia" w:eastAsiaTheme="minorEastAsia"/>
          <w:b/>
          <w:bCs/>
          <w:sz w:val="32"/>
          <w:szCs w:val="32"/>
        </w:rPr>
        <w:t>版    本：</w:t>
      </w:r>
      <w:bookmarkEnd w:id="2"/>
      <w:bookmarkEnd w:id="3"/>
      <w:bookmarkStart w:id="4" w:name="_Toc186526454"/>
      <w:bookmarkStart w:id="5" w:name="_Toc186516937"/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V</w:t>
      </w:r>
      <w:r>
        <w:rPr>
          <w:rFonts w:asciiTheme="minorEastAsia" w:hAnsiTheme="minorEastAsia" w:eastAsiaTheme="minorEastAsia"/>
          <w:b/>
          <w:bCs/>
          <w:sz w:val="32"/>
          <w:szCs w:val="32"/>
        </w:rPr>
        <w:t>1.0</w:t>
      </w:r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 w:eastAsiaTheme="minorEastAsia"/>
          <w:b/>
          <w:bCs/>
          <w:sz w:val="32"/>
          <w:szCs w:val="32"/>
        </w:rPr>
        <w:t>发布日期：</w:t>
      </w:r>
      <w:bookmarkEnd w:id="4"/>
      <w:bookmarkEnd w:id="5"/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2017-11-23</w:t>
      </w:r>
    </w:p>
    <w:p>
      <w:pPr>
        <w:pBdr>
          <w:bottom w:val="double" w:color="auto" w:sz="12" w:space="1"/>
        </w:pBdr>
        <w:autoSpaceDE w:val="0"/>
        <w:autoSpaceDN w:val="0"/>
        <w:adjustRightInd w:val="0"/>
        <w:jc w:val="left"/>
        <w:rPr>
          <w:rFonts w:asciiTheme="minorEastAsia" w:hAnsiTheme="minorEastAsia" w:eastAsiaTheme="minorEastAsia"/>
          <w:b/>
          <w:bCs/>
          <w:kern w:val="0"/>
          <w:sz w:val="32"/>
          <w:szCs w:val="32"/>
        </w:rPr>
      </w:pPr>
      <w:r>
        <w:rPr>
          <w:rFonts w:asciiTheme="minorEastAsia" w:hAnsiTheme="minorEastAsia" w:eastAsiaTheme="minorEastAsia"/>
          <w:b/>
          <w:bCs/>
          <w:kern w:val="0"/>
          <w:sz w:val="32"/>
          <w:szCs w:val="32"/>
        </w:rPr>
        <w:t>文档信息</w:t>
      </w:r>
    </w:p>
    <w:tbl>
      <w:tblPr>
        <w:tblStyle w:val="9"/>
        <w:tblpPr w:leftFromText="180" w:rightFromText="180" w:vertAnchor="text" w:horzAnchor="margin" w:tblpY="516"/>
        <w:tblW w:w="89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899"/>
        <w:gridCol w:w="3421"/>
        <w:gridCol w:w="1080"/>
        <w:gridCol w:w="1077"/>
        <w:gridCol w:w="10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8928" w:type="dxa"/>
            <w:gridSpan w:val="6"/>
            <w:tcBorders>
              <w:top w:val="single" w:color="auto" w:sz="12" w:space="0"/>
              <w:bottom w:val="single" w:color="auto" w:sz="8" w:space="0"/>
            </w:tcBorders>
            <w:shd w:val="clear" w:color="auto" w:fill="C0C0C0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Cs w:val="21"/>
              </w:rPr>
              <w:t>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368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文档名称</w:t>
            </w:r>
          </w:p>
        </w:tc>
        <w:tc>
          <w:tcPr>
            <w:tcW w:w="432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变更管理制度</w:t>
            </w:r>
          </w:p>
        </w:tc>
        <w:tc>
          <w:tcPr>
            <w:tcW w:w="1080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保密级别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内部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文档编号</w:t>
            </w:r>
          </w:p>
        </w:tc>
        <w:tc>
          <w:tcPr>
            <w:tcW w:w="4320" w:type="dxa"/>
            <w:gridSpan w:val="2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HJRD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>08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牵头部门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技术部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分发范围</w:t>
            </w:r>
          </w:p>
        </w:tc>
        <w:tc>
          <w:tcPr>
            <w:tcW w:w="7560" w:type="dxa"/>
            <w:gridSpan w:val="5"/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制度管控员工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928" w:type="dxa"/>
            <w:gridSpan w:val="6"/>
            <w:tcBorders>
              <w:top w:val="single" w:color="auto" w:sz="8" w:space="0"/>
              <w:bottom w:val="single" w:color="auto" w:sz="8" w:space="0"/>
            </w:tcBorders>
            <w:shd w:val="clear" w:color="auto" w:fill="B3B3B3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版本修订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生效日期</w:t>
            </w:r>
          </w:p>
        </w:tc>
        <w:tc>
          <w:tcPr>
            <w:tcW w:w="899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版本号</w:t>
            </w:r>
          </w:p>
        </w:tc>
        <w:tc>
          <w:tcPr>
            <w:tcW w:w="3421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版本说明</w:t>
            </w:r>
          </w:p>
        </w:tc>
        <w:tc>
          <w:tcPr>
            <w:tcW w:w="1080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制作</w:t>
            </w:r>
          </w:p>
        </w:tc>
        <w:tc>
          <w:tcPr>
            <w:tcW w:w="1077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复审</w:t>
            </w:r>
          </w:p>
        </w:tc>
        <w:tc>
          <w:tcPr>
            <w:tcW w:w="1083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批准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上半年</w:t>
            </w: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V1.0</w:t>
            </w: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第一版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刘少会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/刘陵镇</w:t>
            </w: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CTO</w:t>
            </w: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CEO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before="312" w:beforeLines="100" w:after="156" w:afterLines="50" w:line="360" w:lineRule="auto"/>
        <w:ind w:left="108" w:firstLine="523" w:firstLineChars="218"/>
        <w:rPr>
          <w:rFonts w:asciiTheme="minorEastAsia" w:hAnsiTheme="minorEastAsia" w:eastAsiaTheme="minorEastAsia"/>
          <w:bCs/>
          <w:sz w:val="24"/>
          <w:shd w:val="pct10" w:color="auto" w:fill="FFFFFF"/>
        </w:rPr>
      </w:pPr>
      <w:r>
        <w:rPr>
          <w:rFonts w:asciiTheme="minorEastAsia" w:hAnsiTheme="minorEastAsia" w:eastAsiaTheme="minorEastAsia"/>
          <w:bCs/>
          <w:sz w:val="24"/>
          <w:shd w:val="pct10" w:color="auto" w:fill="FFFFFF"/>
        </w:rPr>
        <w:t>注：文档基本信息记录本文档提交时的当前有效的基本控制信息，当前版本文档注有效期</w:t>
      </w:r>
      <w:r>
        <w:rPr>
          <w:rFonts w:hint="eastAsia" w:asciiTheme="minorEastAsia" w:hAnsiTheme="minorEastAsia" w:eastAsiaTheme="minorEastAsia"/>
          <w:bCs/>
          <w:sz w:val="24"/>
          <w:shd w:val="pct10" w:color="auto" w:fill="FFFFFF"/>
        </w:rPr>
        <w:t>将</w:t>
      </w:r>
      <w:r>
        <w:rPr>
          <w:rFonts w:asciiTheme="minorEastAsia" w:hAnsiTheme="minorEastAsia" w:eastAsiaTheme="minorEastAsia"/>
          <w:bCs/>
          <w:sz w:val="24"/>
          <w:shd w:val="pct10" w:color="auto" w:fill="FFFFFF"/>
        </w:rPr>
        <w:t>在新版本文档生效时自动结束。文档版本小于1.0 时，表示该版本文档为草案，仅可作为参照资料之目的。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tabs>
          <w:tab w:val="clear" w:pos="432"/>
        </w:tabs>
        <w:ind w:left="0" w:firstLine="0"/>
        <w:rPr>
          <w:rFonts w:ascii="宋体" w:eastAsia="宋体"/>
        </w:rPr>
      </w:pPr>
      <w:bookmarkStart w:id="6" w:name="_Toc4034"/>
      <w:bookmarkStart w:id="7" w:name="_Toc147377441"/>
      <w:r>
        <w:rPr>
          <w:rFonts w:hint="eastAsia" w:ascii="宋体" w:eastAsia="宋体"/>
        </w:rPr>
        <w:t>目的</w:t>
      </w:r>
      <w:bookmarkEnd w:id="6"/>
      <w:bookmarkEnd w:id="7"/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为规范</w:t>
      </w:r>
      <w:r>
        <w:rPr>
          <w:rFonts w:hint="eastAsia" w:ascii="宋体" w:hAnsi="宋体"/>
          <w:sz w:val="24"/>
          <w:lang w:eastAsia="zh-CN"/>
        </w:rPr>
        <w:t>北京汇聚融达网络科技有限公司</w:t>
      </w:r>
      <w:r>
        <w:rPr>
          <w:rFonts w:hint="eastAsia" w:ascii="宋体" w:hAnsi="宋体"/>
          <w:sz w:val="24"/>
        </w:rPr>
        <w:t>（以下简称“公司”）重要信息系统及设施的变更程序，确保重要业务正常运作，特制定本变更管理规定。</w:t>
      </w:r>
    </w:p>
    <w:p>
      <w:pPr>
        <w:pStyle w:val="2"/>
        <w:tabs>
          <w:tab w:val="clear" w:pos="432"/>
        </w:tabs>
        <w:ind w:left="0" w:firstLine="0"/>
        <w:rPr>
          <w:rFonts w:ascii="宋体" w:eastAsia="宋体"/>
        </w:rPr>
      </w:pPr>
      <w:bookmarkStart w:id="8" w:name="_Toc147377442"/>
      <w:bookmarkStart w:id="9" w:name="_Toc10622"/>
      <w:r>
        <w:rPr>
          <w:rFonts w:hint="eastAsia" w:ascii="宋体" w:eastAsia="宋体"/>
        </w:rPr>
        <w:t>范围</w:t>
      </w:r>
      <w:bookmarkEnd w:id="8"/>
      <w:bookmarkEnd w:id="9"/>
      <w:bookmarkStart w:id="20" w:name="_GoBack"/>
      <w:bookmarkEnd w:id="20"/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eastAsia="zh-CN"/>
        </w:rPr>
        <w:t>北京汇聚融达网络科技有限公司</w:t>
      </w:r>
      <w:r>
        <w:rPr>
          <w:rFonts w:hint="eastAsia" w:ascii="宋体" w:hAnsi="宋体"/>
          <w:sz w:val="24"/>
        </w:rPr>
        <w:t>信息系统及设施变更。</w:t>
      </w:r>
    </w:p>
    <w:p>
      <w:pPr>
        <w:pStyle w:val="2"/>
        <w:tabs>
          <w:tab w:val="clear" w:pos="432"/>
        </w:tabs>
        <w:ind w:left="0" w:firstLine="0"/>
        <w:rPr>
          <w:rFonts w:ascii="宋体" w:eastAsia="宋体"/>
        </w:rPr>
      </w:pPr>
      <w:bookmarkStart w:id="10" w:name="_Toc8879"/>
      <w:r>
        <w:rPr>
          <w:rFonts w:hint="eastAsia" w:ascii="宋体" w:eastAsia="宋体"/>
        </w:rPr>
        <w:t>职责</w:t>
      </w:r>
      <w:bookmarkEnd w:id="10"/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信息技术部负责组织实施软件变更、硬件变更</w:t>
      </w:r>
      <w:r>
        <w:rPr>
          <w:rFonts w:hint="eastAsia" w:ascii="宋体" w:hAnsi="宋体"/>
          <w:sz w:val="24"/>
        </w:rPr>
        <w:t>、系统用户权限变更及</w:t>
      </w:r>
      <w:r>
        <w:rPr>
          <w:rFonts w:ascii="宋体" w:hAnsi="宋体"/>
          <w:sz w:val="24"/>
        </w:rPr>
        <w:t>其他</w:t>
      </w:r>
      <w:r>
        <w:rPr>
          <w:rFonts w:hint="eastAsia" w:ascii="宋体" w:hAnsi="宋体"/>
          <w:sz w:val="24"/>
        </w:rPr>
        <w:t>信息化相关</w:t>
      </w:r>
      <w:r>
        <w:rPr>
          <w:rFonts w:ascii="宋体" w:hAnsi="宋体"/>
          <w:sz w:val="24"/>
        </w:rPr>
        <w:t>变更操作。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信息技术部应</w:t>
      </w:r>
      <w:r>
        <w:rPr>
          <w:rFonts w:hint="eastAsia" w:ascii="宋体" w:hAnsi="宋体"/>
          <w:sz w:val="24"/>
        </w:rPr>
        <w:t>根据</w:t>
      </w:r>
      <w:r>
        <w:rPr>
          <w:rFonts w:ascii="宋体" w:hAnsi="宋体"/>
          <w:sz w:val="24"/>
        </w:rPr>
        <w:t>信息系统的风险级别以及变更风险、影响范围等因素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制定相应的变更审批和变更操作流程。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软、硬件</w:t>
      </w:r>
      <w:r>
        <w:rPr>
          <w:rFonts w:ascii="宋体" w:hAnsi="宋体"/>
          <w:sz w:val="24"/>
        </w:rPr>
        <w:t>变更前期准备工作由</w:t>
      </w:r>
      <w:r>
        <w:rPr>
          <w:rFonts w:hint="eastAsia" w:ascii="宋体" w:hAnsi="宋体"/>
          <w:sz w:val="24"/>
        </w:rPr>
        <w:t>信息技术部</w:t>
      </w:r>
      <w:r>
        <w:rPr>
          <w:rFonts w:ascii="宋体" w:hAnsi="宋体"/>
          <w:sz w:val="24"/>
        </w:rPr>
        <w:t>和业务部门共同完成，工作内容包括：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（一）业务部门负责提出变更申请，并附带需求变更说明书；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</w:t>
      </w:r>
      <w:r>
        <w:rPr>
          <w:rFonts w:ascii="宋体" w:hAnsi="宋体"/>
          <w:sz w:val="24"/>
        </w:rPr>
        <w:t>信息技术部负责规划和分配变更所需的基础设施资源；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三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信</w:t>
      </w:r>
      <w:r>
        <w:rPr>
          <w:rFonts w:ascii="宋体" w:hAnsi="宋体"/>
          <w:sz w:val="24"/>
        </w:rPr>
        <w:t>息技术部负责形成应用版本，并</w:t>
      </w:r>
      <w:r>
        <w:rPr>
          <w:rFonts w:hint="eastAsia" w:ascii="宋体" w:hAnsi="宋体"/>
          <w:sz w:val="24"/>
        </w:rPr>
        <w:t>组织业务部门</w:t>
      </w:r>
      <w:r>
        <w:rPr>
          <w:rFonts w:ascii="宋体" w:hAnsi="宋体"/>
          <w:sz w:val="24"/>
        </w:rPr>
        <w:t>在测试环境内完成测试工作；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四</w:t>
      </w:r>
      <w:r>
        <w:rPr>
          <w:rFonts w:ascii="宋体" w:hAnsi="宋体"/>
          <w:sz w:val="24"/>
        </w:rPr>
        <w:t>）变更提出方应制定变更方案，详细描述变更实施操作步骤、验证方法以及变更失败情况下的应急措施。变更方案由信息技术部、开发人员和业务部门共同确定。</w:t>
      </w:r>
    </w:p>
    <w:p>
      <w:pPr>
        <w:pStyle w:val="2"/>
        <w:tabs>
          <w:tab w:val="clear" w:pos="432"/>
        </w:tabs>
        <w:ind w:left="0" w:firstLine="0"/>
        <w:rPr>
          <w:rFonts w:ascii="宋体" w:eastAsia="宋体"/>
        </w:rPr>
      </w:pPr>
      <w:bookmarkStart w:id="11" w:name="_Toc147377446"/>
      <w:bookmarkStart w:id="12" w:name="_Toc25693"/>
      <w:r>
        <w:rPr>
          <w:rFonts w:hint="eastAsia" w:ascii="宋体" w:eastAsia="宋体"/>
        </w:rPr>
        <w:t>变更管理</w:t>
      </w:r>
      <w:bookmarkEnd w:id="11"/>
      <w:r>
        <w:rPr>
          <w:rFonts w:hint="eastAsia" w:ascii="宋体" w:eastAsia="宋体"/>
        </w:rPr>
        <w:t>规定</w:t>
      </w:r>
      <w:bookmarkEnd w:id="12"/>
    </w:p>
    <w:p>
      <w:pPr>
        <w:pStyle w:val="17"/>
        <w:numPr>
          <w:ilvl w:val="1"/>
          <w:numId w:val="1"/>
        </w:numPr>
        <w:tabs>
          <w:tab w:val="left" w:pos="709"/>
          <w:tab w:val="left" w:pos="992"/>
          <w:tab w:val="clear" w:pos="718"/>
        </w:tabs>
        <w:spacing w:before="156" w:beforeLines="50" w:after="156" w:afterLines="50" w:line="360" w:lineRule="auto"/>
        <w:ind w:left="0" w:firstLine="0"/>
        <w:outlineLvl w:val="1"/>
        <w:rPr>
          <w:rFonts w:ascii="宋体" w:hAnsi="宋体" w:eastAsia="宋体"/>
          <w:kern w:val="2"/>
          <w:sz w:val="32"/>
          <w:szCs w:val="32"/>
        </w:rPr>
      </w:pPr>
      <w:bookmarkStart w:id="13" w:name="_Toc22083"/>
      <w:r>
        <w:rPr>
          <w:rFonts w:hint="eastAsia" w:ascii="宋体" w:hAnsi="宋体" w:eastAsia="宋体"/>
          <w:kern w:val="2"/>
          <w:sz w:val="32"/>
          <w:szCs w:val="32"/>
        </w:rPr>
        <w:t>软件变更程序</w:t>
      </w:r>
      <w:bookmarkEnd w:id="13"/>
    </w:p>
    <w:p>
      <w:pPr>
        <w:pStyle w:val="3"/>
        <w:tabs>
          <w:tab w:val="clear" w:pos="720"/>
        </w:tabs>
        <w:spacing w:before="156" w:beforeLines="50" w:after="156" w:afterLines="50"/>
        <w:ind w:left="0" w:firstLine="0"/>
        <w:rPr>
          <w:sz w:val="28"/>
        </w:rPr>
      </w:pPr>
      <w:bookmarkStart w:id="14" w:name="_Toc24497"/>
      <w:r>
        <w:rPr>
          <w:rFonts w:hint="eastAsia"/>
          <w:sz w:val="28"/>
        </w:rPr>
        <w:t>变更原则</w:t>
      </w:r>
      <w:bookmarkEnd w:id="14"/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软、硬件</w:t>
      </w:r>
      <w:r>
        <w:rPr>
          <w:rFonts w:ascii="宋体" w:hAnsi="宋体"/>
          <w:sz w:val="24"/>
        </w:rPr>
        <w:t>变更实施</w:t>
      </w:r>
      <w:r>
        <w:rPr>
          <w:rFonts w:hint="eastAsia" w:ascii="宋体" w:hAnsi="宋体"/>
          <w:sz w:val="24"/>
        </w:rPr>
        <w:t>应</w:t>
      </w:r>
      <w:r>
        <w:rPr>
          <w:rFonts w:ascii="宋体" w:hAnsi="宋体"/>
          <w:sz w:val="24"/>
        </w:rPr>
        <w:t>符合以下要求：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（一）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应用版本</w:t>
      </w:r>
      <w:r>
        <w:rPr>
          <w:rFonts w:hint="eastAsia" w:ascii="宋体" w:hAnsi="宋体"/>
          <w:sz w:val="24"/>
        </w:rPr>
        <w:t>应</w:t>
      </w:r>
      <w:r>
        <w:rPr>
          <w:rFonts w:ascii="宋体" w:hAnsi="宋体"/>
          <w:sz w:val="24"/>
        </w:rPr>
        <w:t>以标准、规范、安全的方式导入生产系统；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（二）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变更相关技术文档应当符合有关规定的要求，变更实施人员应有必要的培训；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（三）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应尽可能采用自动化工具完成应用版本的部署和安装；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（四）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对于采用新技术、新产品、新版本的重大生产系统变更，应进行充分的业务功能测试</w:t>
      </w:r>
      <w:r>
        <w:rPr>
          <w:rFonts w:hint="eastAsia" w:ascii="宋体" w:hAnsi="宋体"/>
          <w:sz w:val="24"/>
        </w:rPr>
        <w:t>和验证</w:t>
      </w:r>
      <w:r>
        <w:rPr>
          <w:rFonts w:ascii="宋体" w:hAnsi="宋体"/>
          <w:sz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（五）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对于不能进行测试或难以达到测试环境与生产环境一致的情况，应进行风险分析，制定有效的应急预案</w:t>
      </w:r>
      <w:r>
        <w:rPr>
          <w:rFonts w:hint="eastAsia" w:ascii="宋体" w:hAnsi="宋体"/>
          <w:sz w:val="24"/>
        </w:rPr>
        <w:t>。</w:t>
      </w:r>
    </w:p>
    <w:p>
      <w:pPr>
        <w:pStyle w:val="3"/>
        <w:tabs>
          <w:tab w:val="clear" w:pos="720"/>
        </w:tabs>
        <w:spacing w:before="156" w:beforeLines="50" w:after="156" w:afterLines="50"/>
        <w:ind w:left="0" w:firstLine="0"/>
        <w:rPr>
          <w:sz w:val="28"/>
        </w:rPr>
      </w:pPr>
      <w:bookmarkStart w:id="15" w:name="_Toc23097"/>
      <w:r>
        <w:rPr>
          <w:rFonts w:hint="eastAsia"/>
          <w:sz w:val="28"/>
        </w:rPr>
        <w:t>变更申请</w:t>
      </w:r>
      <w:bookmarkEnd w:id="15"/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首先，用户单位应完整详细地填写《变更申请表》，提交用户单位负责人、信息技术部组长、信息安全工作主管领导审批。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由项目经理必须对变更申请进行全面分析，并记录分析结果。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审批完成后，由信息技术部组织用户单位负责人和项目开发商召开变更分析、评审会议，必须有会议纪要和评审结果。 </w:t>
      </w:r>
    </w:p>
    <w:p>
      <w:pPr>
        <w:pStyle w:val="3"/>
        <w:tabs>
          <w:tab w:val="clear" w:pos="720"/>
        </w:tabs>
        <w:spacing w:before="156" w:beforeLines="50" w:after="156" w:afterLines="50"/>
        <w:ind w:left="0" w:firstLine="0"/>
        <w:rPr>
          <w:sz w:val="28"/>
        </w:rPr>
      </w:pPr>
      <w:bookmarkStart w:id="16" w:name="_Toc18842"/>
      <w:r>
        <w:rPr>
          <w:rFonts w:hint="eastAsia"/>
          <w:sz w:val="28"/>
        </w:rPr>
        <w:t>变更执行</w:t>
      </w:r>
      <w:bookmarkEnd w:id="16"/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如系统或设施之变更会造成系统服务之中断，各系统或设施负责人于变更前拟定变更计划，填写《信息系统和设施变更记录单》。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《信息系统和设施变更记录单》中，变更计划应涵盖变更原因、变更程序及预计时程，同时应备妥相关恢复程序，以确保变更失败，系统仍可回复至变更前之状态，正常运作。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变更记录单经信息技术部和部门信息管理员审核确认可行后，呈送信息安全工作主管领导核定。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若设备或系统为客户的设备或系统，则该变更须取得客户相关负责人之同意。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视情况召集相关部门等开会讨论应注意或配合事项。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变更前应对相关设定或重要系统文件进行纪录及备份。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如变更不影响系统运作，不改变系统架构则可列入系统日常维护。</w:t>
      </w:r>
    </w:p>
    <w:p>
      <w:pPr>
        <w:pStyle w:val="17"/>
        <w:numPr>
          <w:ilvl w:val="0"/>
          <w:numId w:val="0"/>
        </w:numPr>
        <w:tabs>
          <w:tab w:val="left" w:pos="709"/>
          <w:tab w:val="left" w:pos="992"/>
        </w:tabs>
        <w:spacing w:before="156" w:beforeLines="50" w:after="156" w:afterLines="50" w:line="360" w:lineRule="auto"/>
        <w:outlineLvl w:val="1"/>
        <w:rPr>
          <w:kern w:val="2"/>
        </w:rPr>
      </w:pPr>
      <w:r>
        <w:br w:type="page"/>
      </w:r>
      <w:bookmarkStart w:id="17" w:name="_Toc13370"/>
      <w:r>
        <w:rPr>
          <w:rFonts w:hint="eastAsia" w:ascii="宋体" w:hAnsi="宋体" w:eastAsia="宋体"/>
          <w:kern w:val="2"/>
          <w:sz w:val="32"/>
          <w:szCs w:val="32"/>
        </w:rPr>
        <w:t>4.2变更流程</w:t>
      </w:r>
      <w:bookmarkEnd w:id="17"/>
    </w:p>
    <w:p>
      <w:pPr>
        <w:rPr>
          <w:rFonts w:hint="eastAsia" w:ascii="宋体" w:hAnsi="宋体"/>
        </w:rPr>
      </w:pPr>
      <w:r>
        <w:rPr>
          <w:rFonts w:ascii="宋体" w:hAnsi="宋体"/>
        </w:rPr>
        <w:object>
          <v:shape id="_x0000_i1025" o:spt="75" type="#_x0000_t75" style="height:564pt;width:40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17"/>
        <w:numPr>
          <w:ilvl w:val="0"/>
          <w:numId w:val="0"/>
        </w:numPr>
        <w:tabs>
          <w:tab w:val="left" w:pos="709"/>
          <w:tab w:val="left" w:pos="992"/>
        </w:tabs>
        <w:spacing w:before="156" w:beforeLines="50" w:after="156" w:afterLines="50" w:line="360" w:lineRule="auto"/>
        <w:outlineLvl w:val="1"/>
        <w:rPr>
          <w:rFonts w:ascii="宋体" w:hAnsi="宋体" w:eastAsia="宋体"/>
          <w:kern w:val="2"/>
          <w:sz w:val="32"/>
          <w:szCs w:val="32"/>
        </w:rPr>
      </w:pPr>
      <w:bookmarkStart w:id="18" w:name="_Toc22556"/>
      <w:bookmarkStart w:id="19" w:name="_Toc18985"/>
      <w:r>
        <w:rPr>
          <w:rFonts w:hint="eastAsia" w:ascii="宋体" w:hAnsi="宋体" w:eastAsia="宋体"/>
          <w:kern w:val="2"/>
          <w:sz w:val="32"/>
          <w:szCs w:val="32"/>
        </w:rPr>
        <w:t>5.1变更不成功的恢复措施</w:t>
      </w:r>
      <w:bookmarkEnd w:id="18"/>
      <w:bookmarkEnd w:id="19"/>
    </w:p>
    <w:p>
      <w:pPr>
        <w:spacing w:before="62" w:after="62"/>
        <w:ind w:left="424" w:leftChars="202" w:firstLine="424" w:firstLineChars="202"/>
      </w:pPr>
      <w:r>
        <w:rPr>
          <w:rFonts w:hint="eastAsia"/>
        </w:rPr>
        <w:t>取消所做变更，从备份资料中获得原始软件资料，重新运行，恢复原始状态。</w:t>
      </w:r>
    </w:p>
    <w:p>
      <w:pPr>
        <w:spacing w:before="62" w:after="62"/>
        <w:ind w:left="424" w:leftChars="202" w:firstLine="424" w:firstLineChars="202"/>
      </w:pPr>
      <w:r>
        <w:rPr>
          <w:rFonts w:hint="eastAsia"/>
        </w:rPr>
        <w:t>根据变更操作记录，查找变更失败原因，以便再次做变更操作时避免同样的错误发生。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7873"/>
    <w:multiLevelType w:val="multilevel"/>
    <w:tmpl w:val="1276787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24F045BE"/>
    <w:multiLevelType w:val="multilevel"/>
    <w:tmpl w:val="24F045BE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5C92883"/>
    <w:multiLevelType w:val="multilevel"/>
    <w:tmpl w:val="35C9288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B0D65C8"/>
    <w:multiLevelType w:val="multilevel"/>
    <w:tmpl w:val="7B0D65C8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pStyle w:val="17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4A"/>
    <w:rsid w:val="006730E8"/>
    <w:rsid w:val="007A07C4"/>
    <w:rsid w:val="008802B6"/>
    <w:rsid w:val="009A010F"/>
    <w:rsid w:val="00E112F8"/>
    <w:rsid w:val="00F76D4A"/>
    <w:rsid w:val="7C12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156" w:beforeLines="50" w:after="156" w:afterLines="50" w:line="360" w:lineRule="auto"/>
      <w:outlineLvl w:val="0"/>
    </w:pPr>
    <w:rPr>
      <w:rFonts w:ascii="仿宋_GB2312" w:hAnsi="宋体" w:eastAsia="仿宋_GB2312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qFormat/>
    <w:uiPriority w:val="0"/>
    <w:pPr>
      <w:keepNext/>
      <w:keepLines/>
      <w:tabs>
        <w:tab w:val="left" w:pos="720"/>
      </w:tabs>
      <w:spacing w:before="260" w:after="260" w:line="360" w:lineRule="auto"/>
      <w:ind w:left="720" w:hanging="720"/>
      <w:outlineLvl w:val="2"/>
    </w:pPr>
    <w:rPr>
      <w:rFonts w:ascii="宋体" w:hAnsi="宋体"/>
      <w:b/>
      <w:bCs/>
      <w:sz w:val="24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link w:val="12"/>
    <w:qFormat/>
    <w:uiPriority w:val="0"/>
    <w:pPr>
      <w:spacing w:line="360" w:lineRule="auto"/>
      <w:ind w:firstLine="420" w:firstLineChars="100"/>
    </w:pPr>
    <w:rPr>
      <w:rFonts w:ascii="Times New Roman" w:hAnsi="Times New Roman" w:eastAsiaTheme="minorEastAsia" w:cstheme="minorBidi"/>
    </w:rPr>
  </w:style>
  <w:style w:type="paragraph" w:styleId="5">
    <w:name w:val="Body Text"/>
    <w:basedOn w:val="1"/>
    <w:link w:val="13"/>
    <w:unhideWhenUsed/>
    <w:qFormat/>
    <w:uiPriority w:val="99"/>
    <w:pPr>
      <w:spacing w:after="120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10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正文首行缩进 Char"/>
    <w:link w:val="4"/>
    <w:qFormat/>
    <w:uiPriority w:val="0"/>
    <w:rPr>
      <w:rFonts w:ascii="Times New Roman" w:hAnsi="Times New Roman"/>
    </w:rPr>
  </w:style>
  <w:style w:type="character" w:customStyle="1" w:styleId="13">
    <w:name w:val="正文文本 Char"/>
    <w:basedOn w:val="8"/>
    <w:link w:val="5"/>
    <w:semiHidden/>
    <w:qFormat/>
    <w:uiPriority w:val="99"/>
    <w:rPr>
      <w:rFonts w:ascii="Calibri" w:hAnsi="Calibri" w:eastAsia="宋体" w:cs="Times New Roman"/>
    </w:rPr>
  </w:style>
  <w:style w:type="character" w:customStyle="1" w:styleId="14">
    <w:name w:val="正文首行缩进 字符"/>
    <w:basedOn w:val="13"/>
    <w:semiHidden/>
    <w:qFormat/>
    <w:uiPriority w:val="99"/>
    <w:rPr>
      <w:rFonts w:ascii="Calibri" w:hAnsi="Calibri" w:eastAsia="宋体" w:cs="Times New Roman"/>
    </w:rPr>
  </w:style>
  <w:style w:type="character" w:customStyle="1" w:styleId="15">
    <w:name w:val="标题 1 Char"/>
    <w:basedOn w:val="8"/>
    <w:link w:val="2"/>
    <w:qFormat/>
    <w:uiPriority w:val="0"/>
    <w:rPr>
      <w:rFonts w:ascii="仿宋_GB2312" w:hAnsi="宋体" w:eastAsia="仿宋_GB2312" w:cs="Times New Roman"/>
      <w:b/>
      <w:bCs/>
      <w:kern w:val="44"/>
      <w:sz w:val="44"/>
      <w:szCs w:val="44"/>
    </w:rPr>
  </w:style>
  <w:style w:type="character" w:customStyle="1" w:styleId="16">
    <w:name w:val="标题 3 Char"/>
    <w:basedOn w:val="8"/>
    <w:link w:val="3"/>
    <w:qFormat/>
    <w:uiPriority w:val="0"/>
    <w:rPr>
      <w:rFonts w:ascii="宋体" w:hAnsi="宋体" w:eastAsia="宋体" w:cs="Times New Roman"/>
      <w:b/>
      <w:bCs/>
      <w:sz w:val="24"/>
      <w:szCs w:val="28"/>
    </w:rPr>
  </w:style>
  <w:style w:type="paragraph" w:customStyle="1" w:styleId="17">
    <w:name w:val="样式 MM Topic 2 +"/>
    <w:basedOn w:val="1"/>
    <w:qFormat/>
    <w:uiPriority w:val="0"/>
    <w:pPr>
      <w:keepNext/>
      <w:keepLines/>
      <w:numPr>
        <w:ilvl w:val="2"/>
        <w:numId w:val="2"/>
      </w:numPr>
      <w:spacing w:before="120" w:after="120"/>
      <w:outlineLvl w:val="2"/>
    </w:pPr>
    <w:rPr>
      <w:rFonts w:ascii="仿宋_GB2312" w:hAnsi="Times New Roman" w:eastAsia="仿宋_GB2312"/>
      <w:b/>
      <w:bCs/>
      <w:kern w:val="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222</Words>
  <Characters>1270</Characters>
  <Lines>10</Lines>
  <Paragraphs>2</Paragraphs>
  <TotalTime>0</TotalTime>
  <ScaleCrop>false</ScaleCrop>
  <LinksUpToDate>false</LinksUpToDate>
  <CharactersWithSpaces>1490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2017-03-19T11:49:00Z</dcterms:created>
  <dc:creator>Yolkok</dc:creator>
  <cp:lastModifiedBy>Administrator</cp:lastModifiedBy>
  <dcterms:modified xsi:type="dcterms:W3CDTF">2017-11-30T07:49:35Z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