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bCs/>
          <w:sz w:val="48"/>
          <w:szCs w:val="48"/>
          <w:lang w:eastAsia="zh-CN"/>
        </w:rPr>
      </w:pPr>
      <w:r>
        <w:rPr>
          <w:rFonts w:hint="eastAsia" w:asciiTheme="minorEastAsia" w:hAnsiTheme="minorEastAsia"/>
          <w:b/>
          <w:bCs/>
          <w:sz w:val="48"/>
          <w:szCs w:val="48"/>
          <w:lang w:eastAsia="zh-CN"/>
        </w:rPr>
        <w:t>北京汇聚融达网络科技有限公司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bCs/>
          <w:sz w:val="48"/>
          <w:szCs w:val="48"/>
        </w:rPr>
        <w:t>—系统安全控制访问策略</w:t>
      </w:r>
    </w:p>
    <w:p>
      <w:pPr>
        <w:rPr>
          <w:rFonts w:asciiTheme="minorEastAsia" w:hAnsiTheme="minorEastAsia" w:eastAsiaTheme="minorEastAsia"/>
          <w:b/>
          <w:bCs/>
          <w:sz w:val="48"/>
          <w:szCs w:val="48"/>
        </w:rPr>
      </w:pPr>
      <w:bookmarkStart w:id="0" w:name="_Toc186516935"/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1" w:name="_Toc186526452"/>
      <w:r>
        <w:rPr>
          <w:rFonts w:asciiTheme="minorEastAsia" w:hAnsiTheme="minorEastAsia" w:eastAsiaTheme="minorEastAsia"/>
          <w:b/>
          <w:bCs/>
          <w:sz w:val="32"/>
          <w:szCs w:val="32"/>
        </w:rPr>
        <w:t>文件编码：</w:t>
      </w:r>
      <w:bookmarkEnd w:id="0"/>
      <w:bookmarkEnd w:id="1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HJRD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-5-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12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</w:pPr>
      <w:bookmarkStart w:id="2" w:name="_Toc186526453"/>
      <w:bookmarkStart w:id="3" w:name="_Toc186516936"/>
      <w:r>
        <w:rPr>
          <w:rFonts w:asciiTheme="minorEastAsia" w:hAnsiTheme="minorEastAsia" w:eastAsiaTheme="minorEastAsia"/>
          <w:b/>
          <w:bCs/>
          <w:sz w:val="32"/>
          <w:szCs w:val="32"/>
        </w:rPr>
        <w:t>版    本：</w:t>
      </w:r>
      <w:bookmarkEnd w:id="2"/>
      <w:bookmarkEnd w:id="3"/>
      <w:bookmarkStart w:id="4" w:name="_Toc186516937"/>
      <w:bookmarkStart w:id="5" w:name="_Toc186526454"/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>V</w:t>
      </w:r>
      <w:r>
        <w:rPr>
          <w:rFonts w:asciiTheme="minorEastAsia" w:hAnsiTheme="minorEastAsia" w:eastAsiaTheme="minorEastAsia"/>
          <w:b/>
          <w:bCs/>
          <w:sz w:val="32"/>
          <w:szCs w:val="32"/>
        </w:rPr>
        <w:t>1.0</w:t>
      </w:r>
    </w:p>
    <w:p>
      <w:pPr>
        <w:ind w:left="1978" w:leftChars="942"/>
        <w:rPr>
          <w:rFonts w:asciiTheme="minorEastAsia" w:hAnsiTheme="minorEastAsia" w:eastAsiaTheme="minorEastAsia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bCs/>
          <w:sz w:val="32"/>
          <w:szCs w:val="32"/>
        </w:rPr>
        <w:t>发布日期：</w:t>
      </w:r>
      <w:bookmarkEnd w:id="4"/>
      <w:bookmarkEnd w:id="5"/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2017-11-23</w:t>
      </w:r>
    </w:p>
    <w:p>
      <w:pPr>
        <w:pBdr>
          <w:bottom w:val="double" w:color="auto" w:sz="12" w:space="1"/>
        </w:pBdr>
        <w:autoSpaceDE w:val="0"/>
        <w:autoSpaceDN w:val="0"/>
        <w:adjustRightInd w:val="0"/>
        <w:jc w:val="left"/>
        <w:rPr>
          <w:rFonts w:asciiTheme="minorEastAsia" w:hAnsiTheme="minorEastAsia" w:eastAsiaTheme="minorEastAsia"/>
          <w:b/>
          <w:bCs/>
          <w:kern w:val="0"/>
          <w:sz w:val="32"/>
          <w:szCs w:val="32"/>
        </w:rPr>
      </w:pPr>
      <w:r>
        <w:rPr>
          <w:rFonts w:asciiTheme="minorEastAsia" w:hAnsiTheme="minorEastAsia" w:eastAsiaTheme="minorEastAsia"/>
          <w:b/>
          <w:bCs/>
          <w:kern w:val="0"/>
          <w:sz w:val="32"/>
          <w:szCs w:val="32"/>
        </w:rPr>
        <w:t>文档信息</w:t>
      </w:r>
    </w:p>
    <w:tbl>
      <w:tblPr>
        <w:tblStyle w:val="8"/>
        <w:tblpPr w:leftFromText="180" w:rightFromText="180" w:vertAnchor="text" w:horzAnchor="margin" w:tblpY="516"/>
        <w:tblW w:w="892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899"/>
        <w:gridCol w:w="3421"/>
        <w:gridCol w:w="1080"/>
        <w:gridCol w:w="1077"/>
        <w:gridCol w:w="10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8928" w:type="dxa"/>
            <w:gridSpan w:val="6"/>
            <w:tcBorders>
              <w:top w:val="single" w:color="auto" w:sz="12" w:space="0"/>
              <w:bottom w:val="single" w:color="auto" w:sz="8" w:space="0"/>
            </w:tcBorders>
            <w:shd w:val="clear" w:color="auto" w:fill="C0C0C0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szCs w:val="21"/>
              </w:rPr>
              <w:t>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文档名称</w:t>
            </w:r>
          </w:p>
        </w:tc>
        <w:tc>
          <w:tcPr>
            <w:tcW w:w="432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系统安全控制访问策略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保密级别</w:t>
            </w:r>
          </w:p>
        </w:tc>
        <w:tc>
          <w:tcPr>
            <w:tcW w:w="216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文档编号</w:t>
            </w:r>
          </w:p>
        </w:tc>
        <w:tc>
          <w:tcPr>
            <w:tcW w:w="4320" w:type="dxa"/>
            <w:gridSpan w:val="2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HJRD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-12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牵头部门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技术部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分发范围</w:t>
            </w:r>
          </w:p>
        </w:tc>
        <w:tc>
          <w:tcPr>
            <w:tcW w:w="7560" w:type="dxa"/>
            <w:gridSpan w:val="5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制度管控员工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928" w:type="dxa"/>
            <w:gridSpan w:val="6"/>
            <w:tcBorders>
              <w:top w:val="single" w:color="auto" w:sz="8" w:space="0"/>
              <w:bottom w:val="single" w:color="auto" w:sz="8" w:space="0"/>
            </w:tcBorders>
            <w:shd w:val="clear" w:color="auto" w:fill="B3B3B3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版本修订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生效日期</w:t>
            </w:r>
          </w:p>
        </w:tc>
        <w:tc>
          <w:tcPr>
            <w:tcW w:w="899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版本号</w:t>
            </w:r>
          </w:p>
        </w:tc>
        <w:tc>
          <w:tcPr>
            <w:tcW w:w="3421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版本说明</w:t>
            </w:r>
          </w:p>
        </w:tc>
        <w:tc>
          <w:tcPr>
            <w:tcW w:w="1080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制作</w:t>
            </w:r>
          </w:p>
        </w:tc>
        <w:tc>
          <w:tcPr>
            <w:tcW w:w="1077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复审</w:t>
            </w:r>
          </w:p>
        </w:tc>
        <w:tc>
          <w:tcPr>
            <w:tcW w:w="1083" w:type="dxa"/>
            <w:tcBorders>
              <w:top w:val="single" w:color="auto" w:sz="8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1"/>
              </w:rPr>
              <w:t>批准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上半年</w:t>
            </w: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V1.0</w:t>
            </w: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第一版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刘少会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/刘陵镇</w:t>
            </w: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CTO</w:t>
            </w: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hint="eastAsia" w:eastAsia="宋体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CEO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68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899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3421" w:type="dxa"/>
            <w:vAlign w:val="center"/>
          </w:tcPr>
          <w:p>
            <w:pPr>
              <w:keepNext/>
              <w:keepLines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83" w:type="dxa"/>
            <w:vAlign w:val="center"/>
          </w:tcPr>
          <w:p>
            <w:pPr>
              <w:keepNext/>
              <w:keepLines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312" w:beforeLines="100" w:after="156" w:afterLines="50" w:line="360" w:lineRule="auto"/>
        <w:ind w:left="108" w:firstLine="523" w:firstLineChars="218"/>
        <w:rPr>
          <w:rFonts w:asciiTheme="minorEastAsia" w:hAnsiTheme="minorEastAsia" w:eastAsiaTheme="minorEastAsia"/>
          <w:bCs/>
          <w:sz w:val="24"/>
          <w:shd w:val="pct10" w:color="auto" w:fill="FFFFFF"/>
        </w:rPr>
      </w:pP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注：文档基本信息记录本文档提交时的当前有效的基本控制信息，当前版本文档注有效期</w:t>
      </w:r>
      <w:r>
        <w:rPr>
          <w:rFonts w:hint="eastAsia" w:asciiTheme="minorEastAsia" w:hAnsiTheme="minorEastAsia" w:eastAsiaTheme="minorEastAsia"/>
          <w:bCs/>
          <w:sz w:val="24"/>
          <w:shd w:val="pct10" w:color="auto" w:fill="FFFFFF"/>
        </w:rPr>
        <w:t>将</w:t>
      </w:r>
      <w:r>
        <w:rPr>
          <w:rFonts w:asciiTheme="minorEastAsia" w:hAnsiTheme="minorEastAsia" w:eastAsiaTheme="minorEastAsia"/>
          <w:bCs/>
          <w:sz w:val="24"/>
          <w:shd w:val="pct10" w:color="auto" w:fill="FFFFFF"/>
        </w:rPr>
        <w:t>在新版本文档生效时自动结束。文档版本小于1.0 时，表示该版本文档为草案，仅可作为参照资料之目的。</w:t>
      </w:r>
    </w:p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ind w:left="0" w:firstLine="0"/>
        <w:rPr>
          <w:rFonts w:ascii="宋体" w:hAnsi="宋体"/>
          <w:sz w:val="21"/>
          <w:szCs w:val="21"/>
        </w:rPr>
      </w:pPr>
      <w:bookmarkStart w:id="6" w:name="_Toc251673532"/>
      <w:bookmarkStart w:id="7" w:name="_Toc251673709"/>
      <w:bookmarkStart w:id="8" w:name="_Toc251673736"/>
      <w:bookmarkStart w:id="9" w:name="_Toc251674408"/>
      <w:bookmarkStart w:id="10" w:name="_Toc251675456"/>
      <w:bookmarkStart w:id="11" w:name="_Toc252289363"/>
      <w:bookmarkStart w:id="12" w:name="_Toc251675467"/>
      <w:bookmarkStart w:id="13" w:name="_Toc251675521"/>
      <w:bookmarkStart w:id="14" w:name="_Toc251673895"/>
      <w:bookmarkStart w:id="15" w:name="_Toc251673912"/>
      <w:bookmarkStart w:id="16" w:name="_Toc251661631"/>
      <w:r>
        <w:rPr>
          <w:rFonts w:hint="eastAsia" w:ascii="宋体" w:hAnsi="宋体"/>
          <w:sz w:val="21"/>
          <w:szCs w:val="21"/>
        </w:rPr>
        <w:t>目的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为了保护</w:t>
      </w:r>
      <w:r>
        <w:rPr>
          <w:rFonts w:hint="eastAsia" w:ascii="宋体" w:hAnsi="宋体"/>
          <w:szCs w:val="21"/>
          <w:lang w:eastAsia="zh-CN"/>
        </w:rPr>
        <w:t>北京汇聚融达网络科技</w:t>
      </w:r>
      <w:r>
        <w:rPr>
          <w:rFonts w:hint="eastAsia" w:ascii="宋体" w:hAnsi="宋体"/>
          <w:bCs/>
          <w:szCs w:val="21"/>
        </w:rPr>
        <w:t>有限公司</w:t>
      </w:r>
      <w:r>
        <w:rPr>
          <w:rFonts w:hint="eastAsia" w:ascii="宋体" w:hAnsi="宋体"/>
          <w:szCs w:val="21"/>
        </w:rPr>
        <w:t>信息系统资源的安全，防止</w:t>
      </w:r>
      <w:r>
        <w:rPr>
          <w:rFonts w:hint="eastAsia" w:ascii="宋体" w:hAnsi="宋体"/>
          <w:bCs/>
          <w:szCs w:val="21"/>
        </w:rPr>
        <w:t>xxx有限公司</w:t>
      </w:r>
      <w:r>
        <w:rPr>
          <w:rFonts w:hint="eastAsia" w:ascii="宋体" w:hAnsi="宋体"/>
          <w:szCs w:val="21"/>
        </w:rPr>
        <w:t>的各种信息资产受到非授权访问，造成信息泄露，特制订本管理规定。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ind w:left="0" w:firstLine="0"/>
        <w:rPr>
          <w:rFonts w:ascii="宋体" w:hAnsi="宋体"/>
          <w:sz w:val="21"/>
          <w:szCs w:val="21"/>
        </w:rPr>
      </w:pPr>
      <w:bookmarkStart w:id="17" w:name="_Toc187143950"/>
      <w:bookmarkStart w:id="18" w:name="_Toc187140251"/>
      <w:bookmarkStart w:id="19" w:name="_Toc252289364"/>
      <w:bookmarkStart w:id="20" w:name="_Toc251675468"/>
      <w:bookmarkStart w:id="21" w:name="_Toc251675457"/>
      <w:bookmarkStart w:id="22" w:name="_Toc251674409"/>
      <w:bookmarkStart w:id="23" w:name="_Toc251673913"/>
      <w:bookmarkStart w:id="24" w:name="_Toc251673896"/>
      <w:bookmarkStart w:id="25" w:name="_Toc251673737"/>
      <w:bookmarkStart w:id="26" w:name="_Toc251673710"/>
      <w:bookmarkStart w:id="27" w:name="_Toc251673533"/>
      <w:bookmarkStart w:id="28" w:name="_Toc251661632"/>
      <w:bookmarkStart w:id="29" w:name="_Toc131857333"/>
      <w:bookmarkStart w:id="30" w:name="_Toc251675522"/>
      <w:bookmarkStart w:id="31" w:name="_Toc131943673"/>
      <w:bookmarkStart w:id="32" w:name="_Toc132078392"/>
      <w:bookmarkStart w:id="33" w:name="_Toc132038291"/>
      <w:bookmarkStart w:id="34" w:name="_Toc131995632"/>
      <w:bookmarkStart w:id="35" w:name="_Toc131995360"/>
      <w:bookmarkStart w:id="36" w:name="_Toc131857172"/>
      <w:r>
        <w:rPr>
          <w:rFonts w:ascii="宋体" w:hAnsi="宋体"/>
          <w:sz w:val="21"/>
          <w:szCs w:val="21"/>
        </w:rPr>
        <w:t>适用范围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本管理规定适用于</w:t>
      </w:r>
      <w:r>
        <w:rPr>
          <w:rFonts w:hint="eastAsia" w:ascii="宋体" w:hAnsi="宋体"/>
          <w:szCs w:val="21"/>
          <w:lang w:eastAsia="zh-CN"/>
        </w:rPr>
        <w:t>北京汇聚融达网络科技</w:t>
      </w:r>
      <w:r>
        <w:rPr>
          <w:rFonts w:hint="eastAsia" w:ascii="宋体" w:hAnsi="宋体"/>
          <w:bCs/>
          <w:szCs w:val="21"/>
        </w:rPr>
        <w:t>有限公司</w:t>
      </w:r>
      <w:bookmarkStart w:id="141" w:name="_GoBack"/>
      <w:bookmarkEnd w:id="141"/>
      <w:r>
        <w:rPr>
          <w:rFonts w:hint="eastAsia" w:ascii="宋体" w:hAnsi="宋体"/>
          <w:szCs w:val="21"/>
        </w:rPr>
        <w:t>（以下简称“公司”）现有的各种底层操作系统、</w:t>
      </w:r>
      <w:r>
        <w:rPr>
          <w:rFonts w:hint="eastAsia" w:ascii="宋体" w:hAnsi="宋体"/>
          <w:szCs w:val="21"/>
          <w:highlight w:val="yellow"/>
        </w:rPr>
        <w:t>业务系统</w:t>
      </w:r>
      <w:r>
        <w:rPr>
          <w:rFonts w:hint="eastAsia" w:ascii="宋体" w:hAnsi="宋体"/>
          <w:szCs w:val="21"/>
        </w:rPr>
        <w:t>以及无人值守设备</w:t>
      </w:r>
      <w:r>
        <w:rPr>
          <w:rFonts w:ascii="宋体" w:hAnsi="宋体"/>
          <w:szCs w:val="21"/>
        </w:rPr>
        <w:t>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ind w:left="0" w:firstLine="0"/>
        <w:rPr>
          <w:rFonts w:ascii="宋体" w:hAnsi="宋体"/>
          <w:sz w:val="21"/>
          <w:szCs w:val="21"/>
        </w:rPr>
      </w:pPr>
      <w:bookmarkStart w:id="37" w:name="_Toc251673897"/>
      <w:bookmarkStart w:id="38" w:name="_Toc251674410"/>
      <w:bookmarkStart w:id="39" w:name="_Toc251675469"/>
      <w:bookmarkStart w:id="40" w:name="_Toc251675523"/>
      <w:bookmarkStart w:id="41" w:name="_Toc251673914"/>
      <w:bookmarkStart w:id="42" w:name="_Toc251675458"/>
      <w:bookmarkStart w:id="43" w:name="_Toc252289365"/>
      <w:bookmarkStart w:id="44" w:name="_Toc251661633"/>
      <w:bookmarkStart w:id="45" w:name="_Toc131857173"/>
      <w:bookmarkStart w:id="46" w:name="_Toc131857334"/>
      <w:bookmarkStart w:id="47" w:name="_Toc131943674"/>
      <w:bookmarkStart w:id="48" w:name="_Toc131995361"/>
      <w:bookmarkStart w:id="49" w:name="_Toc131995633"/>
      <w:bookmarkStart w:id="50" w:name="_Toc132038292"/>
      <w:bookmarkStart w:id="51" w:name="_Toc132078393"/>
      <w:bookmarkStart w:id="52" w:name="_Toc187140252"/>
      <w:bookmarkStart w:id="53" w:name="_Toc187143951"/>
      <w:bookmarkStart w:id="54" w:name="_Toc251673534"/>
      <w:bookmarkStart w:id="55" w:name="_Toc251673711"/>
      <w:bookmarkStart w:id="56" w:name="_Toc251673738"/>
      <w:r>
        <w:rPr>
          <w:rFonts w:ascii="宋体" w:hAnsi="宋体"/>
          <w:sz w:val="21"/>
          <w:szCs w:val="21"/>
        </w:rPr>
        <w:t>职责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信息技术部负责对公司的各种信息资产的访问进行管理；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部门信息管理员负责部门间的协调和配合工作；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各部门主管负责在本部门内部落实此文件的规定。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ind w:left="0" w:firstLine="0"/>
        <w:rPr>
          <w:rFonts w:ascii="宋体" w:hAnsi="宋体"/>
          <w:sz w:val="21"/>
          <w:szCs w:val="21"/>
        </w:rPr>
      </w:pPr>
      <w:bookmarkStart w:id="57" w:name="_Toc187143952"/>
      <w:bookmarkStart w:id="58" w:name="_Toc251661634"/>
      <w:bookmarkStart w:id="59" w:name="_Toc251673535"/>
      <w:bookmarkStart w:id="60" w:name="_Toc251673712"/>
      <w:bookmarkStart w:id="61" w:name="_Toc251673739"/>
      <w:bookmarkStart w:id="62" w:name="_Toc251673898"/>
      <w:bookmarkStart w:id="63" w:name="_Toc251673915"/>
      <w:bookmarkStart w:id="64" w:name="_Toc251674411"/>
      <w:bookmarkStart w:id="65" w:name="_Toc251675459"/>
      <w:bookmarkStart w:id="66" w:name="_Toc251675470"/>
      <w:bookmarkStart w:id="67" w:name="_Toc251675524"/>
      <w:bookmarkStart w:id="68" w:name="_Toc252289366"/>
      <w:r>
        <w:rPr>
          <w:rFonts w:hint="eastAsia" w:ascii="宋体" w:hAnsi="宋体"/>
          <w:sz w:val="21"/>
          <w:szCs w:val="21"/>
        </w:rPr>
        <w:t>系统访问管理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3"/>
        <w:numPr>
          <w:ilvl w:val="1"/>
          <w:numId w:val="1"/>
        </w:numPr>
        <w:rPr>
          <w:rFonts w:ascii="宋体" w:hAnsi="宋体" w:eastAsia="宋体"/>
          <w:sz w:val="21"/>
          <w:szCs w:val="21"/>
        </w:rPr>
      </w:pPr>
      <w:bookmarkStart w:id="69" w:name="_Toc187143953"/>
      <w:bookmarkStart w:id="70" w:name="_Toc251661635"/>
      <w:bookmarkStart w:id="71" w:name="_Toc251673536"/>
      <w:bookmarkStart w:id="72" w:name="_Toc251673713"/>
      <w:bookmarkStart w:id="73" w:name="_Toc251673740"/>
      <w:bookmarkStart w:id="74" w:name="_Toc251673899"/>
      <w:bookmarkStart w:id="75" w:name="_Toc251673916"/>
      <w:bookmarkStart w:id="76" w:name="_Toc251674412"/>
      <w:bookmarkStart w:id="77" w:name="_Toc251675460"/>
      <w:bookmarkStart w:id="78" w:name="_Toc251675471"/>
      <w:bookmarkStart w:id="79" w:name="_Toc251675525"/>
      <w:bookmarkStart w:id="80" w:name="_Toc252289367"/>
      <w:r>
        <w:rPr>
          <w:rFonts w:hint="eastAsia" w:ascii="宋体" w:hAnsi="宋体" w:eastAsia="宋体"/>
          <w:sz w:val="21"/>
          <w:szCs w:val="21"/>
        </w:rPr>
        <w:t>操作系统的访问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对于通用操作系统，必须对系统进行安全设置，保证在进入系统前执行经过验证的登录操作过程，才可以进入系统。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对操作系统进行设置，记录登录成功与失败的日志，以便对系统的审计。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系统要限制登录失败的次数，在3次登录失败之后，就将用户锁定，锁定时间结束后解锁用户。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将管理员账号与普通账号分开，日常使用时只能以普通用户的账号登录，如操作需要管理员权限再提权使用。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所有的用户必须分配有一个唯一的用户ID，用户ID可标识用户名，但不可标识职位与权限。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启用操作系统的口令管理安全策略，保证采用高质量口令。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对于具有身份验证功能的系统程序（如财务系统），程序所属部门应建立登录程序的用户，并对不同用户赋予不同的权限；对于没有用户验证功能的系统，要通过系统的访问权限控制对系统的访问。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对目录和文件设置用户可用的最低权限，并通过属性权限与安全权限控制用户的权限。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操作系统的登录口令必须定期更改，需要符合《xxx有限公司账号、口令和权限管理规定》。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  <w:sz w:val="21"/>
          <w:szCs w:val="21"/>
        </w:rPr>
      </w:pPr>
      <w:bookmarkStart w:id="81" w:name="_Toc251661636"/>
      <w:bookmarkStart w:id="82" w:name="_Toc251673537"/>
      <w:bookmarkStart w:id="83" w:name="_Toc251673714"/>
      <w:bookmarkStart w:id="84" w:name="_Toc251673741"/>
      <w:bookmarkStart w:id="85" w:name="_Toc251673900"/>
      <w:bookmarkStart w:id="86" w:name="_Toc251673917"/>
      <w:bookmarkStart w:id="87" w:name="_Toc251674413"/>
      <w:bookmarkStart w:id="88" w:name="_Toc251675461"/>
      <w:bookmarkStart w:id="89" w:name="_Toc251675472"/>
      <w:bookmarkStart w:id="90" w:name="_Toc251675526"/>
      <w:bookmarkStart w:id="91" w:name="_Toc252289368"/>
      <w:bookmarkStart w:id="92" w:name="_Toc187143954"/>
      <w:r>
        <w:rPr>
          <w:rFonts w:hint="eastAsia" w:ascii="宋体" w:hAnsi="宋体" w:eastAsia="宋体"/>
          <w:sz w:val="21"/>
          <w:szCs w:val="21"/>
        </w:rPr>
        <w:t>应用系统的访问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>
      <w:pPr>
        <w:pStyle w:val="4"/>
        <w:rPr>
          <w:rFonts w:ascii="宋体" w:hAnsi="宋体"/>
          <w:sz w:val="21"/>
          <w:szCs w:val="21"/>
        </w:rPr>
      </w:pPr>
      <w:bookmarkStart w:id="93" w:name="_Toc251661637"/>
      <w:bookmarkStart w:id="94" w:name="_Toc251673538"/>
      <w:bookmarkStart w:id="95" w:name="_Toc251673715"/>
      <w:bookmarkStart w:id="96" w:name="_Toc251673742"/>
      <w:bookmarkStart w:id="97" w:name="_Toc251673901"/>
      <w:bookmarkStart w:id="98" w:name="_Toc251673918"/>
      <w:bookmarkStart w:id="99" w:name="_Toc251674414"/>
      <w:bookmarkStart w:id="100" w:name="_Toc251675462"/>
      <w:bookmarkStart w:id="101" w:name="_Toc251675473"/>
      <w:bookmarkStart w:id="102" w:name="_Toc251675527"/>
      <w:bookmarkStart w:id="103" w:name="_Toc252289369"/>
      <w:r>
        <w:rPr>
          <w:rFonts w:hint="eastAsia" w:ascii="宋体" w:hAnsi="宋体"/>
          <w:sz w:val="21"/>
          <w:szCs w:val="21"/>
        </w:rPr>
        <w:t>4.2.1业务系统的访问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禁止非法使用他人的账号来进行系统登录。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业务系统采用健壮的身份识别、认证及授权机制。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启用业务系统的登录、注销及关键操作日志记录功能，正确实现操作行为与账号名关联。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对业务系统用户权限进行划分，只给予用户工作需要的最低权限，防止越权操作。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系统管理员定期对应用系统现有的账号、权限进行复查和审计。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应用系统管理员定期对应用系统的登录、操作日志进行审计，及时发现事件并通知责任人和当事人。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需定期备份日志文件。</w:t>
      </w:r>
    </w:p>
    <w:p>
      <w:pPr>
        <w:pStyle w:val="4"/>
        <w:rPr>
          <w:rFonts w:ascii="宋体" w:hAnsi="宋体"/>
          <w:sz w:val="21"/>
          <w:szCs w:val="21"/>
        </w:rPr>
      </w:pPr>
      <w:bookmarkStart w:id="104" w:name="_Toc187143955"/>
      <w:bookmarkStart w:id="105" w:name="_Toc251661638"/>
      <w:bookmarkStart w:id="106" w:name="_Toc251673539"/>
      <w:bookmarkStart w:id="107" w:name="_Toc251673716"/>
      <w:bookmarkStart w:id="108" w:name="_Toc251673743"/>
      <w:bookmarkStart w:id="109" w:name="_Toc251673902"/>
      <w:bookmarkStart w:id="110" w:name="_Toc251673919"/>
      <w:bookmarkStart w:id="111" w:name="_Toc251674415"/>
      <w:bookmarkStart w:id="112" w:name="_Toc251675463"/>
      <w:bookmarkStart w:id="113" w:name="_Toc251675474"/>
      <w:bookmarkStart w:id="114" w:name="_Toc251675528"/>
      <w:bookmarkStart w:id="115" w:name="_Toc252289370"/>
      <w:r>
        <w:rPr>
          <w:rFonts w:hint="eastAsia" w:ascii="宋体" w:hAnsi="宋体"/>
          <w:sz w:val="21"/>
          <w:szCs w:val="21"/>
        </w:rPr>
        <w:t>4.2.2企业信息化系统的访问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启用日志记录，日志记录内容包括：登录、注销、系统报警、安全日志、重要应用程序日志和重要文件访问日志等。为保证日志的准确性，需正确设置计算机时钟。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系统管理员必须定期检查日志，依据严重程度对发现的问题进行及时纠正。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可以对系统管理程序或工具设置日志，记录使用用户的情况，包括：用户ID、时间、事件类型、所访问的程序及所使用的文件。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对特权账号实行更严格的日志审查。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发现违反安全策略的情况，需及时处理，并通知责任人和当事人。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需定期备份日志文件。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  <w:sz w:val="21"/>
          <w:szCs w:val="21"/>
        </w:rPr>
      </w:pPr>
      <w:bookmarkStart w:id="116" w:name="_Toc187143956"/>
      <w:bookmarkStart w:id="117" w:name="_Toc251661639"/>
      <w:bookmarkStart w:id="118" w:name="_Toc251673540"/>
      <w:bookmarkStart w:id="119" w:name="_Toc251673717"/>
      <w:bookmarkStart w:id="120" w:name="_Toc251673744"/>
      <w:bookmarkStart w:id="121" w:name="_Toc251673903"/>
      <w:bookmarkStart w:id="122" w:name="_Toc251673920"/>
      <w:bookmarkStart w:id="123" w:name="_Toc251674416"/>
      <w:bookmarkStart w:id="124" w:name="_Toc251675464"/>
      <w:bookmarkStart w:id="125" w:name="_Toc251675475"/>
      <w:bookmarkStart w:id="126" w:name="_Toc251675529"/>
      <w:bookmarkStart w:id="127" w:name="_Toc252289371"/>
      <w:r>
        <w:rPr>
          <w:rFonts w:hint="eastAsia" w:ascii="宋体" w:hAnsi="宋体" w:eastAsia="宋体"/>
          <w:sz w:val="21"/>
          <w:szCs w:val="21"/>
        </w:rPr>
        <w:t>无人值守设备的访问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对于无人值守的设备，必须设置带密码保护的自动屏保程序，同时要求用户在离开时将屏幕锁住。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要定期对无人值守设备的运行状态进行巡检。</w:t>
      </w:r>
    </w:p>
    <w:p>
      <w:pPr>
        <w:pStyle w:val="2"/>
        <w:numPr>
          <w:ilvl w:val="0"/>
          <w:numId w:val="1"/>
        </w:numPr>
        <w:spacing w:before="156" w:beforeLines="50" w:after="156" w:afterLines="50" w:line="360" w:lineRule="auto"/>
        <w:ind w:left="0" w:firstLine="0"/>
        <w:rPr>
          <w:rFonts w:ascii="宋体" w:hAnsi="宋体"/>
          <w:sz w:val="21"/>
          <w:szCs w:val="21"/>
        </w:rPr>
      </w:pPr>
      <w:bookmarkStart w:id="128" w:name="_Toc187140260"/>
      <w:bookmarkStart w:id="129" w:name="_Toc187143957"/>
      <w:bookmarkStart w:id="130" w:name="_Toc251661640"/>
      <w:bookmarkStart w:id="131" w:name="_Toc251673541"/>
      <w:bookmarkStart w:id="132" w:name="_Toc251673718"/>
      <w:bookmarkStart w:id="133" w:name="_Toc251673745"/>
      <w:bookmarkStart w:id="134" w:name="_Toc251673904"/>
      <w:bookmarkStart w:id="135" w:name="_Toc251673921"/>
      <w:bookmarkStart w:id="136" w:name="_Toc251674417"/>
      <w:bookmarkStart w:id="137" w:name="_Toc251675465"/>
      <w:bookmarkStart w:id="138" w:name="_Toc251675476"/>
      <w:bookmarkStart w:id="139" w:name="_Toc251675530"/>
      <w:bookmarkStart w:id="140" w:name="_Toc252289372"/>
      <w:r>
        <w:rPr>
          <w:rFonts w:ascii="宋体" w:hAnsi="宋体"/>
          <w:sz w:val="21"/>
          <w:szCs w:val="21"/>
        </w:rPr>
        <w:t>相关文件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Fonts w:ascii="宋体" w:hAnsi="宋体"/>
          <w:sz w:val="21"/>
          <w:szCs w:val="21"/>
        </w:rPr>
        <w:t xml:space="preserve"> 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2012"/>
    <w:multiLevelType w:val="multilevel"/>
    <w:tmpl w:val="1ADF2012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60"/>
        </w:tabs>
        <w:ind w:left="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80"/>
        </w:tabs>
        <w:ind w:left="480" w:hanging="420"/>
      </w:pPr>
    </w:lvl>
    <w:lvl w:ilvl="3" w:tentative="0">
      <w:start w:val="1"/>
      <w:numFmt w:val="decimal"/>
      <w:lvlText w:val="%4."/>
      <w:lvlJc w:val="left"/>
      <w:pPr>
        <w:tabs>
          <w:tab w:val="left" w:pos="900"/>
        </w:tabs>
        <w:ind w:left="9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20"/>
        </w:tabs>
        <w:ind w:left="13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740"/>
        </w:tabs>
        <w:ind w:left="17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580"/>
        </w:tabs>
        <w:ind w:left="25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00"/>
        </w:tabs>
        <w:ind w:left="3000" w:hanging="420"/>
      </w:pPr>
    </w:lvl>
  </w:abstractNum>
  <w:abstractNum w:abstractNumId="1">
    <w:nsid w:val="23257340"/>
    <w:multiLevelType w:val="multilevel"/>
    <w:tmpl w:val="232573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44"/>
        <w:szCs w:val="44"/>
        <w:vertAlign w:val="baseline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  <w:szCs w:val="28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b w:val="0"/>
        <w:i w:val="0"/>
        <w:sz w:val="24"/>
        <w:szCs w:val="24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1BF2838"/>
    <w:multiLevelType w:val="multilevel"/>
    <w:tmpl w:val="31BF2838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60"/>
        </w:tabs>
        <w:ind w:left="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80"/>
        </w:tabs>
        <w:ind w:left="480" w:hanging="420"/>
      </w:pPr>
    </w:lvl>
    <w:lvl w:ilvl="3" w:tentative="0">
      <w:start w:val="1"/>
      <w:numFmt w:val="decimal"/>
      <w:lvlText w:val="%4."/>
      <w:lvlJc w:val="left"/>
      <w:pPr>
        <w:tabs>
          <w:tab w:val="left" w:pos="900"/>
        </w:tabs>
        <w:ind w:left="9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20"/>
        </w:tabs>
        <w:ind w:left="13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740"/>
        </w:tabs>
        <w:ind w:left="17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580"/>
        </w:tabs>
        <w:ind w:left="25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00"/>
        </w:tabs>
        <w:ind w:left="3000" w:hanging="420"/>
      </w:pPr>
    </w:lvl>
  </w:abstractNum>
  <w:abstractNum w:abstractNumId="3">
    <w:nsid w:val="56221BEE"/>
    <w:multiLevelType w:val="multilevel"/>
    <w:tmpl w:val="56221BEE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60"/>
        </w:tabs>
        <w:ind w:left="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80"/>
        </w:tabs>
        <w:ind w:left="480" w:hanging="420"/>
      </w:pPr>
    </w:lvl>
    <w:lvl w:ilvl="3" w:tentative="0">
      <w:start w:val="1"/>
      <w:numFmt w:val="decimal"/>
      <w:lvlText w:val="%4."/>
      <w:lvlJc w:val="left"/>
      <w:pPr>
        <w:tabs>
          <w:tab w:val="left" w:pos="900"/>
        </w:tabs>
        <w:ind w:left="9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20"/>
        </w:tabs>
        <w:ind w:left="13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740"/>
        </w:tabs>
        <w:ind w:left="17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580"/>
        </w:tabs>
        <w:ind w:left="25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00"/>
        </w:tabs>
        <w:ind w:left="3000" w:hanging="420"/>
      </w:pPr>
    </w:lvl>
  </w:abstractNum>
  <w:abstractNum w:abstractNumId="4">
    <w:nsid w:val="67877FFC"/>
    <w:multiLevelType w:val="multilevel"/>
    <w:tmpl w:val="67877FFC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60"/>
        </w:tabs>
        <w:ind w:left="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80"/>
        </w:tabs>
        <w:ind w:left="480" w:hanging="420"/>
      </w:pPr>
    </w:lvl>
    <w:lvl w:ilvl="3" w:tentative="0">
      <w:start w:val="1"/>
      <w:numFmt w:val="decimal"/>
      <w:lvlText w:val="%4."/>
      <w:lvlJc w:val="left"/>
      <w:pPr>
        <w:tabs>
          <w:tab w:val="left" w:pos="900"/>
        </w:tabs>
        <w:ind w:left="9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20"/>
        </w:tabs>
        <w:ind w:left="13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740"/>
        </w:tabs>
        <w:ind w:left="17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160"/>
        </w:tabs>
        <w:ind w:left="21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580"/>
        </w:tabs>
        <w:ind w:left="25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00"/>
        </w:tabs>
        <w:ind w:left="30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4A"/>
    <w:rsid w:val="006730E8"/>
    <w:rsid w:val="0069085D"/>
    <w:rsid w:val="008802B6"/>
    <w:rsid w:val="00F76D4A"/>
    <w:rsid w:val="00FB3D64"/>
    <w:rsid w:val="628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219</Words>
  <Characters>1252</Characters>
  <Lines>10</Lines>
  <Paragraphs>2</Paragraphs>
  <TotalTime>0</TotalTime>
  <ScaleCrop>false</ScaleCrop>
  <LinksUpToDate>false</LinksUpToDate>
  <CharactersWithSpaces>1469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2017-03-19T11:49:00Z</dcterms:created>
  <dc:creator>Yolkok</dc:creator>
  <cp:lastModifiedBy>Administrator</cp:lastModifiedBy>
  <dcterms:modified xsi:type="dcterms:W3CDTF">2017-11-30T07:55:52Z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