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问题三：午餐备菜方案优化模型</w:t>
      </w:r>
    </w:p>
    <w:p>
      <w:pPr>
        <w:pStyle w:val="Heading2"/>
      </w:pPr>
      <w:r>
        <w:t>1 问题分析</w:t>
      </w:r>
    </w:p>
    <w:p>
      <w:r>
        <w:t>问题三要求在问题二预测结果基础上，给出 2025 年 5 月 6 日至 5 月 12 日期间普通工作日的午餐备菜方案。本文仅使用午餐历史销售数据，不考虑晚餐方案。该问题需要同时兼顾顾客需求、营养供给、消费习惯、菜品多样性和餐厅利润，因此可视为带约束的多目标离散优化问题。</w:t>
      </w:r>
    </w:p>
    <w:p>
      <w:pPr>
        <w:pStyle w:val="Heading2"/>
      </w:pPr>
      <w:r>
        <w:t>2 数据处理与菜品统计</w:t>
      </w:r>
    </w:p>
    <w:p>
      <w:r>
        <w:t>本文读取 merged_order_dish.csv 并筛选 meal_period=lunch 的午餐记录，统计每个菜品的历史销售次数、销售重量、平均价格、每 100g 营养成分和消费偏好权重。问题二预测结果来自 problem2_prediction_results.xlsx，用于给定每日预测就餐人数、销售总额及营养素需求。</w:t>
      </w:r>
    </w:p>
    <w:p>
      <w:pPr>
        <w:pStyle w:val="Heading2"/>
      </w:pPr>
      <w:r>
        <w:t>3 基准模型：贪心算法</w:t>
      </w:r>
    </w:p>
    <w:p>
      <w:r>
        <w:t>贪心算法根据菜品利润、历史偏好和营养缺口覆盖能力构造综合得分，先满足最低菜品种类数要求，再逐步增加边际得分最高菜品的备菜量。该方法计算速度快，但容易产生局部最优。</w:t>
      </w:r>
    </w:p>
    <w:p>
      <w:pPr>
        <w:pStyle w:val="Heading2"/>
      </w:pPr>
      <w:r>
        <w:t>4 主模型：多目标整数规划</w:t>
      </w:r>
    </w:p>
    <w:p>
      <w:r>
        <w:t>本文建立多目标整数规划模型。决策变量为每日各菜品的 100g 备菜单位数，并引入是否选择菜品的 0-1 变量。模型综合最大化预计利润、顾客偏好和菜品多样性，并设置总备菜量、营养供给、销售额区间、菜品种类数和单品备菜上限等约束。</w:t>
      </w:r>
    </w:p>
    <w:p>
      <w:pPr>
        <w:pStyle w:val="Heading2"/>
      </w:pPr>
      <w:r>
        <w:t>5 改进模型：NSGA-II</w:t>
      </w:r>
    </w:p>
    <w:p>
      <w:r>
        <w:t>本文进一步采用 NSGA-II 搜索 Pareto 候选方案，同时优化利润、营养偏差、顾客偏好和备菜总量偏差。算法每个工作日生成一组非支配解，再通过综合评分选择折中方案。</w:t>
      </w:r>
    </w:p>
    <w:p>
      <w:pPr>
        <w:pStyle w:val="Heading2"/>
      </w:pPr>
      <w:r>
        <w:t>6 三类方法比较</w:t>
      </w:r>
    </w:p>
    <w:p>
      <w:r>
        <w:t>三类方法的效果比较如下表所示。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方法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平均预计利润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平均销售额相对偏差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平均营养相对偏差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平均备菜量相对偏差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平均菜品数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综合评分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NSGA-II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1859.5728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0.5746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0.1960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0.0220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30.8000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0.6785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多目标整数规划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1473.0830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0.2467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0.1388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0.0785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31.8000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0.6500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贪心算法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3170.5530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1.6894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0.5485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0.0001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20.4000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0.3500</w:t>
            </w:r>
          </w:p>
        </w:tc>
      </w:tr>
    </w:tbl>
    <w:p/>
    <w:p>
      <w:r>
        <w:t>从比较结果看，贪心算法利润最高但偏差较大；NSGA-II 综合评分略高但销售额偏差较大；多目标整数规划在营养偏差、销售额控制和可解释性方面更稳定，因此本文采用多目标整数规划作为最终主方案。</w:t>
      </w:r>
    </w:p>
    <w:p>
      <w:pPr>
        <w:pStyle w:val="Heading2"/>
      </w:pPr>
      <w:r>
        <w:t>7 最终午餐备菜方案</w:t>
      </w:r>
    </w:p>
    <w:p>
      <w:r>
        <w:t>基于多目标整数规划得到的每日午餐备菜方案汇总如下。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日期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星期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推荐菜品数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总备菜重量kg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预计销售额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预计利润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热量供给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碳水供给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蛋白质供给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脂肪供给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膳食纤维供给</w:t>
            </w:r>
          </w:p>
        </w:tc>
      </w:tr>
      <w:tr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星期二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32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155.00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4300.87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1505.30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211710.00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18168.74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14081.08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9160.87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2075.55</w:t>
            </w:r>
          </w:p>
        </w:tc>
      </w:tr>
      <w:tr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星期三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32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153.80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4256.94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1489.93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209028.00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17675.84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14097.68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9053.69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2005.75</w:t>
            </w:r>
          </w:p>
        </w:tc>
      </w:tr>
      <w:tr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星期四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32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151.20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4297.24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1504.04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211173.00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17779.25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14022.77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9254.49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2042.96</w:t>
            </w:r>
          </w:p>
        </w:tc>
      </w:tr>
      <w:tr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星期五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32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155.70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3850.09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1347.53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205015.00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16958.23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13580.56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9050.40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1738.65</w:t>
            </w:r>
          </w:p>
        </w:tc>
      </w:tr>
      <w:tr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星期一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31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157.10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4338.90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1518.61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224090.00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20222.43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14187.26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9660.87</w:t>
            </w:r>
          </w:p>
        </w:tc>
        <w:tc>
          <w:tcPr>
            <w:tcW w:type="dxa" w:w="851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2236.34</w:t>
            </w:r>
          </w:p>
        </w:tc>
      </w:tr>
    </w:tbl>
    <w:p/>
    <w:p>
      <w:r>
        <w:t>为进一步分析优化方案的经营效果，本文将各工作日午餐预计利润进行可视化。5 月 12 日预计利润最高，为 1518.61 元；5 月 9 日预计利润相对较低，为 1347.53 元。整体来看，优化后的午餐方案在不同工作日均能保持较稳定的利润水平。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1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profit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图：问题三各工作日午餐预计利润对比</w:t>
      </w:r>
    </w:p>
    <w:p>
      <w:r>
        <w:t>为检验备菜方案对营养素需求的满足程度，本文计算各类营养素满足率。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日期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星期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热量满足率/%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碳水满足率/%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蛋白质满足率/%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脂肪满足率/%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膳食纤维满足率/%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星期二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106.15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86.03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117.82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114.74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星期三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108.18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86.08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116.76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118.00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117.92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星期四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108.60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86.00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117.93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117.98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117.54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星期五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102.86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86.18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116.71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117.97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96.31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星期一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106.90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86.05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117.74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117.76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114.16</w:t>
            </w:r>
          </w:p>
        </w:tc>
      </w:tr>
    </w:tbl>
    <w:p/>
    <w:p>
      <w:r>
        <w:t>由营养满足情况可知，各工作日热量满足率约为 102.86% 至 108.60%，蛋白质和脂肪满足率整体处于预测需求附近，膳食纤维满足率除 5 月 9 日外均达到较高水平。碳水满足率处于模型设定的约束下限附近，说明模型在兼顾利润、偏好和菜品多样性时，对碳水供给采取了相对保守的配置。</w:t>
      </w:r>
    </w:p>
    <w:p>
      <w:r>
        <w:t>各工作日备菜量较大的主要菜品如下，完整明细见 problem3_lunch_menu_plan.xlsx。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日期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菜品名称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备菜单位_100g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备菜重量kg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预计销售额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7"/>
              </w:rPr>
              <w:t>预计利润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茭白肉丝小炒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23.00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1022.23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357.78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葱油鸡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23.00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974.95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341.23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家常豆腐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23.00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601.07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210.37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葱油娃娃菜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23.00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538.94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188.63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米饭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23.00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49.37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17.28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木耳莴笋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160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16.00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378.92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132.62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茭白肉丝小炒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1017.79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356.23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葱油鸡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970.71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339.75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家常豆腐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598.45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209.46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葱油娃娃菜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536.59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187.81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米饭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49.15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17.20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油豆腐烧肉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127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12.70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361.59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126.56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茭白肉丝小炒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22.50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1000.01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350.00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葱油鸡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22.50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953.76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333.81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葱油娃娃菜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22.50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527.22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184.53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米饭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22.50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48.29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16.90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家常豆腐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18.10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473.01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165.56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油豆腐烧肉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15.30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435.61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152.47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葱油鸡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23.10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979.19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342.72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家常豆腐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23.10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603.68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211.29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葱油娃娃菜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23.10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541.28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189.45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酸辣土豆丝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23.10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347.97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121.79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米饭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23.10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49.58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17.35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油豆腐烧肉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652.00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228.20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茭白肉丝小炒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1035.57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362.45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葱油鸡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987.67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345.68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家常豆腐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608.91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213.12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葱油娃娃菜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545.97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191.09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米饭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23.30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50.01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17.50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2025-05-12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油豆腐烧肉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9.80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279.02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Calibri" w:hAnsi="Calibri" w:eastAsia="宋体"/>
                <w:b w:val="0"/>
                <w:sz w:val="17"/>
              </w:rPr>
              <w:t>97.66</w:t>
            </w:r>
          </w:p>
        </w:tc>
      </w:tr>
    </w:tbl>
    <w:p/>
    <w:p>
      <w:pPr>
        <w:pStyle w:val="Heading2"/>
      </w:pPr>
      <w:r>
        <w:t>8 结论</w:t>
      </w:r>
    </w:p>
    <w:p>
      <w:r>
        <w:t>综合比较三类模型后，多目标整数规划模型最适合作为最终午餐备菜决策模型。该模型在保证菜品多样性和顾客偏好的同时，能够较好控制营养供给和销售额偏差，具有较强解释性和可执行性。NSGA-II 可作为改进模型展示多目标优化思想，贪心算法则作为基准模型用于对照。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